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DEC" w:rsidP="00971DEC">
      <w:pPr>
        <w:pStyle w:val="Title"/>
      </w:pPr>
      <w:r>
        <w:fldChar w:fldCharType="begin"/>
      </w:r>
      <w:r>
        <w:instrText xml:space="preserve"> TITLE   \* MERGEFORMAT </w:instrText>
      </w:r>
      <w:r>
        <w:fldChar w:fldCharType="separate"/>
      </w:r>
      <w:r>
        <w:t>BSBWHS609 Advise on the application of safe design principles to control WHS risks</w:t>
      </w:r>
      <w:r>
        <w:fldChar w:fldCharType="end"/>
      </w:r>
    </w:p>
    <w:p w:rsidR="00971DEC" w:rsidP="00971DEC">
      <w:pPr>
        <w:pStyle w:val="Version"/>
        <w:sectPr w:rsidSect="008247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75B" w:rsidP="0082475B">
      <w:pPr>
        <w:pStyle w:val="SuperHeading"/>
      </w:pPr>
      <w:r w:rsidRPr="0082475B">
        <w:t>BSBWHS609 Advise on the application of safe design principles to control WHS risks</w:t>
      </w:r>
    </w:p>
    <w:p w:rsidR="00000000" w:rsidRPr="0082475B" w:rsidP="0082475B">
      <w:pPr>
        <w:pStyle w:val="Heading1"/>
      </w:pPr>
      <w:bookmarkStart w:id="1" w:name="O_647404"/>
      <w:bookmarkEnd w:id="1"/>
      <w:r w:rsidRPr="0082475B">
        <w:t>Modification History</w:t>
      </w:r>
    </w:p>
    <w:tbl>
      <w:tblPr>
        <w:tblW w:w="0" w:type="auto"/>
        <w:tblLayout w:type="fixed"/>
        <w:tblCellMar>
          <w:left w:w="62" w:type="dxa"/>
          <w:right w:w="62" w:type="dxa"/>
        </w:tblCellMar>
        <w:tblLook w:val="0000"/>
      </w:tblPr>
      <w:tblGrid>
        <w:gridCol w:w="3153"/>
        <w:gridCol w:w="5873"/>
      </w:tblGrid>
      <w:tr w:rsidTr="008247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SpecialBold"/>
              </w:rPr>
              <w:t>Comments</w:t>
            </w:r>
          </w:p>
        </w:tc>
      </w:tr>
      <w:tr w:rsidTr="008247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This version first released with BSB Business Services Training Package Version 1.0.</w:t>
            </w:r>
          </w:p>
        </w:tc>
      </w:tr>
    </w:tbl>
    <w:p w:rsidR="00000000" w:rsidRPr="0082475B" w:rsidP="0082475B">
      <w:pPr>
        <w:pStyle w:val="BodyText"/>
      </w:pPr>
    </w:p>
    <w:p w:rsidR="00000000" w:rsidRPr="0082475B" w:rsidP="0082475B">
      <w:pPr>
        <w:pStyle w:val="AllowPageBreak"/>
      </w:pPr>
    </w:p>
    <w:p w:rsidR="00000000" w:rsidRPr="0082475B" w:rsidP="0082475B">
      <w:pPr>
        <w:pStyle w:val="Heading1"/>
      </w:pPr>
      <w:bookmarkStart w:id="2" w:name="O_647405"/>
      <w:bookmarkEnd w:id="2"/>
      <w:r w:rsidRPr="0082475B">
        <w:t>Application</w:t>
      </w:r>
    </w:p>
    <w:p w:rsidR="00000000" w:rsidRPr="0082475B" w:rsidP="00971DEC">
      <w:pPr>
        <w:pStyle w:val="BodyText"/>
      </w:pPr>
      <w:r w:rsidRPr="0082475B">
        <w:t>This unit describes the skills and knowledge required to advise on applying safe design principles to control Work Health and Safety (WHS) risks during a product’s life cycle. The central feature of safe design is the application of relevant in</w:t>
      </w:r>
      <w:r w:rsidRPr="0082475B">
        <w:t>formation and data about human experience, capabilities and behaviour to the design of objects, facilities, procedures and environments that people use.</w:t>
      </w:r>
    </w:p>
    <w:p w:rsidR="00000000" w:rsidRPr="0082475B" w:rsidP="00971DEC">
      <w:pPr>
        <w:pStyle w:val="BodyText"/>
      </w:pPr>
      <w:r w:rsidRPr="0082475B">
        <w:t>It applies to individuals who are in a position to provide advice on the application of safe design pr</w:t>
      </w:r>
      <w:r w:rsidRPr="0082475B">
        <w:t>inciples in their organisation, which may be involved in one or more stages of the product life cycle.</w:t>
      </w:r>
    </w:p>
    <w:p w:rsidR="00000000" w:rsidRPr="0082475B" w:rsidP="00971DEC">
      <w:pPr>
        <w:pStyle w:val="BodyText"/>
      </w:pPr>
      <w:r w:rsidRPr="0082475B">
        <w:t xml:space="preserve">NOTE: The terms </w:t>
      </w:r>
      <w:r>
        <w:t>‘</w:t>
      </w:r>
      <w:r w:rsidRPr="0082475B">
        <w:t>occupational health and safety</w:t>
      </w:r>
      <w:r>
        <w:t>’</w:t>
      </w:r>
      <w:r w:rsidRPr="0082475B">
        <w:t xml:space="preserve"> (OHS) and </w:t>
      </w:r>
      <w:r>
        <w:t>‘</w:t>
      </w:r>
      <w:r w:rsidRPr="0082475B">
        <w:t>work health and safety</w:t>
      </w:r>
      <w:r>
        <w:t>’</w:t>
      </w:r>
      <w:r w:rsidRPr="0082475B">
        <w:t xml:space="preserve"> (WHS) are equivalent and generally either can be used in the workpla</w:t>
      </w:r>
      <w:r w:rsidRPr="0082475B">
        <w:t>ce. In jurisdictions where the Model WHS Legislation has not been implemented RTOs are advised to contextualise the unit of competency by referring to the existing State/Territory OHS legislative requirements.</w:t>
      </w:r>
    </w:p>
    <w:p w:rsidR="00000000" w:rsidRPr="0082475B" w:rsidP="00971DEC">
      <w:pPr>
        <w:pStyle w:val="BodyText"/>
      </w:pPr>
      <w:r w:rsidRPr="0082475B">
        <w:t>No licensing, legislative or certification re</w:t>
      </w:r>
      <w:r w:rsidRPr="0082475B">
        <w:t>quirements apply to this unit at the time of publication.</w:t>
      </w:r>
    </w:p>
    <w:p w:rsidR="00000000" w:rsidRPr="0082475B" w:rsidP="0082475B">
      <w:pPr>
        <w:pStyle w:val="Heading1"/>
      </w:pPr>
      <w:bookmarkStart w:id="3" w:name="O_647408"/>
      <w:bookmarkEnd w:id="3"/>
      <w:r w:rsidRPr="0082475B">
        <w:t>Unit Sector</w:t>
      </w:r>
    </w:p>
    <w:p w:rsidR="00000000" w:rsidRPr="0082475B" w:rsidP="00971DEC">
      <w:pPr>
        <w:pStyle w:val="BodyText"/>
      </w:pPr>
      <w:r w:rsidRPr="0082475B">
        <w:t>Regulation, Licensing and Risk – Work Health and Safety</w:t>
      </w:r>
    </w:p>
    <w:p w:rsidR="00000000" w:rsidRPr="0082475B" w:rsidP="0082475B">
      <w:pPr>
        <w:pStyle w:val="Heading1"/>
      </w:pPr>
      <w:bookmarkStart w:id="4" w:name="O_647409"/>
      <w:bookmarkEnd w:id="4"/>
      <w:r w:rsidRPr="0082475B">
        <w:t>Elements and Performance Criteria</w:t>
      </w:r>
    </w:p>
    <w:tbl>
      <w:tblPr>
        <w:tblW w:w="9462" w:type="dxa"/>
        <w:tblLayout w:type="fixed"/>
        <w:tblCellMar>
          <w:left w:w="62" w:type="dxa"/>
          <w:right w:w="62" w:type="dxa"/>
        </w:tblCellMar>
        <w:tblLook w:val="0000"/>
      </w:tblPr>
      <w:tblGrid>
        <w:gridCol w:w="2700"/>
        <w:gridCol w:w="6762"/>
      </w:tblGrid>
      <w:tr w:rsidTr="0082475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SpecialBold"/>
              </w:rPr>
              <w:t>PERFORMANCE CRITERIA</w:t>
            </w:r>
          </w:p>
        </w:tc>
      </w:tr>
      <w:tr w:rsidTr="0082475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Emphasis"/>
              </w:rPr>
              <w:t xml:space="preserve">Elements describe the </w:t>
            </w:r>
            <w:r w:rsidRPr="0082475B">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Emphasis"/>
              </w:rPr>
              <w:t xml:space="preserve">Performance criteria describe the performance needed to </w:t>
            </w:r>
            <w:r w:rsidRPr="0082475B">
              <w:rPr>
                <w:rStyle w:val="Emphasis"/>
              </w:rPr>
              <w:t>demonstrate achievement of the element.</w:t>
            </w:r>
          </w:p>
        </w:tc>
      </w:tr>
      <w:tr w:rsidTr="008247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1 Advise on WHS requirements of the design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1.1 Inform decision makers about their responsibility for the safe</w:t>
            </w:r>
            <w:r w:rsidRPr="0082475B">
              <w:t>ty of downstream users</w:t>
            </w:r>
          </w:p>
          <w:p w:rsidR="00000000" w:rsidRPr="0082475B" w:rsidP="0082475B">
            <w:pPr>
              <w:pStyle w:val="BodyText"/>
            </w:pPr>
            <w:r w:rsidRPr="0082475B">
              <w:t>1.2 Advise decision makers of their duties, under Commonwealth and state or territory WHS legislation, to manage WHS risks, and control for residual WHS risks, at each product life cycle stage</w:t>
            </w:r>
          </w:p>
          <w:p w:rsidR="00000000" w:rsidRPr="0082475B" w:rsidP="0082475B">
            <w:pPr>
              <w:pStyle w:val="BodyText"/>
            </w:pPr>
            <w:r w:rsidRPr="0082475B">
              <w:t>1.3 Promote WHS within the design requir</w:t>
            </w:r>
            <w:r w:rsidRPr="0082475B">
              <w:t>ements and the inclusion of a WHS risk assessment across the product life cycle</w:t>
            </w:r>
          </w:p>
          <w:p w:rsidR="00000000" w:rsidRPr="0082475B" w:rsidP="0082475B">
            <w:pPr>
              <w:pStyle w:val="BodyText"/>
            </w:pPr>
            <w:r w:rsidRPr="0082475B">
              <w:t xml:space="preserve">1.4 Source and make available to decision makers the most current information and data on WHS principles, materials, technology and systems for application in product design </w:t>
            </w:r>
          </w:p>
          <w:p w:rsidR="00000000" w:rsidRPr="0082475B" w:rsidP="0082475B">
            <w:pPr>
              <w:pStyle w:val="BodyText"/>
            </w:pPr>
            <w:r w:rsidRPr="0082475B">
              <w:t>1</w:t>
            </w:r>
            <w:r w:rsidRPr="0082475B">
              <w:t>.5 Identify and make available required education and training to enable decision makers to manage WHS risks in the design phase</w:t>
            </w:r>
          </w:p>
          <w:p w:rsidR="00000000" w:rsidRPr="0082475B" w:rsidP="0082475B">
            <w:pPr>
              <w:pStyle w:val="BodyText"/>
            </w:pPr>
            <w:r w:rsidRPr="0082475B">
              <w:t>1.6 Identify and access relevant sources of information and data</w:t>
            </w:r>
          </w:p>
          <w:p w:rsidR="00000000" w:rsidRPr="0082475B" w:rsidP="0082475B">
            <w:pPr>
              <w:pStyle w:val="BodyText"/>
            </w:pPr>
            <w:r w:rsidRPr="0082475B">
              <w:t>1.7 Consult known and/or potential users of the product during</w:t>
            </w:r>
            <w:r w:rsidRPr="0082475B">
              <w:t xml:space="preserve"> the design phase</w:t>
            </w:r>
          </w:p>
          <w:p w:rsidR="00000000" w:rsidP="0082475B">
            <w:pPr>
              <w:pStyle w:val="BodyText"/>
              <w:rPr>
                <w:lang w:val="en-NZ"/>
              </w:rPr>
            </w:pPr>
            <w:r w:rsidRPr="0082475B">
              <w:t>1.8 Identify situations where specialist and other advisers may be required</w:t>
            </w:r>
          </w:p>
        </w:tc>
      </w:tr>
      <w:tr w:rsidTr="008247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2 Advise on the development of a systematic WHS hazard identification and WHS risk assessment system for safe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2.1 Advise on t</w:t>
            </w:r>
            <w:r w:rsidRPr="0082475B">
              <w:t>he identification of WHS hazards and WHS risk assessment across the life cycle of the designed product</w:t>
            </w:r>
          </w:p>
          <w:p w:rsidR="00000000" w:rsidRPr="0082475B" w:rsidP="0082475B">
            <w:pPr>
              <w:pStyle w:val="BodyText"/>
            </w:pPr>
            <w:r w:rsidRPr="0082475B">
              <w:t>2.2 Advise on the selection and implementation of the most appropriate WHS risk controls for the designed product from a systematic risk analysis arising</w:t>
            </w:r>
            <w:r w:rsidRPr="0082475B">
              <w:t xml:space="preserve"> from exposure to identified WHS hazards </w:t>
            </w:r>
          </w:p>
          <w:p w:rsidR="00000000" w:rsidRPr="0082475B" w:rsidP="0082475B">
            <w:pPr>
              <w:pStyle w:val="BodyText"/>
            </w:pPr>
            <w:r w:rsidRPr="0082475B">
              <w:t>2.3 Advise on ensuring WHS risk management includes potential alterations to the designed product during its life</w:t>
            </w:r>
          </w:p>
          <w:p w:rsidR="00000000" w:rsidRPr="0082475B" w:rsidP="0082475B">
            <w:pPr>
              <w:pStyle w:val="BodyText"/>
            </w:pPr>
            <w:r w:rsidRPr="0082475B">
              <w:t>2.4 Advise on documenting decision making during the WHS risk-assessment process and making document</w:t>
            </w:r>
            <w:r w:rsidRPr="0082475B">
              <w:t>ation accessible to all parties</w:t>
            </w:r>
          </w:p>
          <w:p w:rsidR="00000000" w:rsidRPr="0082475B" w:rsidP="0082475B">
            <w:pPr>
              <w:pStyle w:val="BodyText"/>
            </w:pPr>
            <w:r w:rsidRPr="0082475B">
              <w:t>2.5 Advise on the establishment of a residual WHS risk register and the distribution of this information to those involved in the downstream or subsequent life-cycle stages</w:t>
            </w:r>
          </w:p>
          <w:p w:rsidR="00000000" w:rsidP="0082475B">
            <w:pPr>
              <w:pStyle w:val="BodyText"/>
              <w:rPr>
                <w:lang w:val="en-NZ"/>
              </w:rPr>
            </w:pPr>
            <w:r w:rsidRPr="0082475B">
              <w:t xml:space="preserve">2.6 Advise on monitoring the design as it evolves, </w:t>
            </w:r>
            <w:r w:rsidRPr="0082475B">
              <w:t xml:space="preserve">to identify potential new WHS hazards and risks and to manage any WHS hazards and risks </w:t>
            </w:r>
          </w:p>
        </w:tc>
      </w:tr>
      <w:tr w:rsidTr="0082475B">
        <w:tblPrEx>
          <w:tblW w:w="9462" w:type="dxa"/>
          <w:tblLayout w:type="fixed"/>
          <w:tblCellMar>
            <w:left w:w="62" w:type="dxa"/>
            <w:right w:w="62" w:type="dxa"/>
          </w:tblCellMar>
          <w:tblLook w:val="0000"/>
        </w:tblPrEx>
        <w:trPr>
          <w:trHeight w:val="1215"/>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3 Advise on the principles of WHS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 xml:space="preserve">3.1 Use the hierarchy of control to advise on WHS risk controls in design </w:t>
            </w:r>
          </w:p>
          <w:p w:rsidR="00000000" w:rsidP="0082475B">
            <w:pPr>
              <w:pStyle w:val="BodyText"/>
              <w:rPr>
                <w:lang w:val="en-NZ"/>
              </w:rPr>
            </w:pPr>
            <w:r w:rsidRPr="0082475B">
              <w:t>3.2 Advise on minimising the impact of poss</w:t>
            </w:r>
            <w:r w:rsidRPr="0082475B">
              <w:t>ible failure or defect by ensuring the product includes fail-to-safe action</w:t>
            </w:r>
          </w:p>
        </w:tc>
      </w:tr>
      <w:tr w:rsidTr="008247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4 Advise on consultation processes in the life cycle of the designed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 xml:space="preserve">4.1 Advise decision makers to consider the needs of the range of people who will use or interact with </w:t>
            </w:r>
            <w:r w:rsidRPr="0082475B">
              <w:t>the designed product</w:t>
            </w:r>
          </w:p>
          <w:p w:rsidR="00000000" w:rsidRPr="0082475B" w:rsidP="0082475B">
            <w:pPr>
              <w:pStyle w:val="BodyText"/>
            </w:pPr>
            <w:r w:rsidRPr="0082475B">
              <w:t xml:space="preserve">4.2 Advise on arranging consultation between all parties during the concept and detailed design phases to identify WHS hazards and control WHS risks </w:t>
            </w:r>
          </w:p>
          <w:p w:rsidR="00000000" w:rsidP="0082475B">
            <w:pPr>
              <w:pStyle w:val="BodyText"/>
              <w:rPr>
                <w:lang w:val="en-NZ"/>
              </w:rPr>
            </w:pPr>
            <w:r w:rsidRPr="0082475B">
              <w:t xml:space="preserve">4.3 Advise on appropriately communicating residual WHS risks in the designed product </w:t>
            </w:r>
            <w:r w:rsidRPr="0082475B">
              <w:t>to those who will use or interact with the product throughout its life cycle</w:t>
            </w:r>
          </w:p>
        </w:tc>
      </w:tr>
      <w:tr w:rsidTr="008247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5 Advise on procurement systems to minimise ‘purchased’ WHS hazards and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 xml:space="preserve">5.1 Advise decision makers involved in purchasing and contractual arrangements to include a requirement to identify WHS hazards, control WHS risks, and provide information and data on residual WHS risks </w:t>
            </w:r>
          </w:p>
          <w:p w:rsidR="00000000" w:rsidRPr="0082475B" w:rsidP="0082475B">
            <w:pPr>
              <w:pStyle w:val="BodyText"/>
            </w:pPr>
            <w:r w:rsidRPr="0082475B">
              <w:t xml:space="preserve">5.2 Advise on including an agreement to carry out a </w:t>
            </w:r>
            <w:r w:rsidRPr="0082475B">
              <w:t>safe design approach in the design brief or draft specifications</w:t>
            </w:r>
          </w:p>
        </w:tc>
      </w:tr>
    </w:tbl>
    <w:p w:rsidR="00000000" w:rsidRPr="0082475B" w:rsidP="0082475B">
      <w:pPr>
        <w:pStyle w:val="BodyText"/>
      </w:pPr>
    </w:p>
    <w:p w:rsidR="00000000" w:rsidRPr="0082475B" w:rsidP="0082475B">
      <w:pPr>
        <w:pStyle w:val="AllowPageBreak"/>
      </w:pPr>
    </w:p>
    <w:p w:rsidR="00000000" w:rsidRPr="0082475B" w:rsidP="0082475B">
      <w:pPr>
        <w:pStyle w:val="Heading1"/>
      </w:pPr>
      <w:bookmarkStart w:id="5" w:name="O_647410"/>
      <w:bookmarkEnd w:id="5"/>
      <w:r w:rsidRPr="0082475B">
        <w:t>Foundation Skills</w:t>
      </w:r>
    </w:p>
    <w:p w:rsidR="00000000" w:rsidRPr="00971DEC" w:rsidP="00971DEC">
      <w:pPr>
        <w:pStyle w:val="BodyText"/>
        <w:rPr>
          <w:i/>
        </w:rPr>
      </w:pPr>
      <w:r w:rsidRPr="00971DEC">
        <w:rPr>
          <w:rStyle w:val="Emphasis"/>
        </w:rPr>
        <w:t>This section describes language, literacy, numeracy and employment skills incorporated in the performance criteria that are required for competent perform</w:t>
      </w:r>
      <w:r w:rsidRPr="00971DEC">
        <w:rPr>
          <w:rStyle w:val="Emphasis"/>
        </w:rPr>
        <w:t>ance.</w:t>
      </w:r>
    </w:p>
    <w:tbl>
      <w:tblPr>
        <w:tblW w:w="9640" w:type="dxa"/>
        <w:tblLayout w:type="fixed"/>
        <w:tblCellMar>
          <w:left w:w="62" w:type="dxa"/>
          <w:right w:w="62" w:type="dxa"/>
        </w:tblCellMar>
        <w:tblLook w:val="0000"/>
      </w:tblPr>
      <w:tblGrid>
        <w:gridCol w:w="1638"/>
        <w:gridCol w:w="2162"/>
        <w:gridCol w:w="5840"/>
      </w:tblGrid>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Performance</w:t>
            </w:r>
          </w:p>
          <w:p w:rsidR="00000000" w:rsidRPr="0082475B" w:rsidP="0082475B">
            <w:pPr>
              <w:pStyle w:val="BodyText"/>
            </w:pPr>
            <w:r w:rsidRPr="0082475B">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SpecialBold"/>
              </w:rPr>
              <w:t>Description</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1.2, 1.4, 1.5, 1.6</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ListBullet"/>
              <w:rPr>
                <w:lang w:val="en-NZ"/>
              </w:rPr>
            </w:pPr>
            <w:r w:rsidRPr="0082475B">
              <w:t>Identifies, interprets and analyses complex legislative and organisational texts relevant to safe design</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1.1, 1.2, 1.3, 2.1, 2.4, 2.5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 xml:space="preserve">Develops advice and recommendations about safe design, matching style of writing to purpose and audience </w:t>
            </w:r>
          </w:p>
          <w:p w:rsidR="00000000" w:rsidP="0082475B">
            <w:pPr>
              <w:pStyle w:val="ListBullet"/>
              <w:rPr>
                <w:lang w:val="en-NZ"/>
              </w:rPr>
            </w:pPr>
            <w:r w:rsidRPr="0082475B">
              <w:t xml:space="preserve">Drafts and develops a range of documents using appropriate vocabulary, grammatical structure and organisational conventions </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 xml:space="preserve">1.1, </w:t>
            </w:r>
            <w:r w:rsidRPr="0082475B">
              <w:t>1.2, 1.3, 1.6, 1.7, 2.1-2.6, 3.1, 3.2, 4.1-4.3,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 xml:space="preserve">Presents information or advice using language appropriate to the audience </w:t>
            </w:r>
          </w:p>
          <w:p w:rsidR="00000000" w:rsidP="0082475B">
            <w:pPr>
              <w:pStyle w:val="ListBullet"/>
              <w:rPr>
                <w:lang w:val="en-NZ"/>
              </w:rPr>
            </w:pPr>
            <w:r w:rsidRPr="0082475B">
              <w:t xml:space="preserve">Uses questioning and active listening to seek information and confirm understanding </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 xml:space="preserve">Selects from, and </w:t>
            </w:r>
            <w:r w:rsidRPr="0082475B">
              <w:t>applies, a range of mathematical strategies to interpret and analyse mathematical information embedded in a range of texts</w:t>
            </w:r>
          </w:p>
          <w:p w:rsidR="00000000" w:rsidRPr="0082475B" w:rsidP="0082475B">
            <w:pPr>
              <w:pStyle w:val="ListBullet"/>
            </w:pPr>
            <w:r w:rsidRPr="0082475B">
              <w:t>Applies mathematical processes to assess risk levels</w:t>
            </w:r>
          </w:p>
          <w:p w:rsidR="00000000" w:rsidP="0082475B">
            <w:pPr>
              <w:pStyle w:val="ListBullet"/>
              <w:rPr>
                <w:lang w:val="en-NZ"/>
              </w:rPr>
            </w:pPr>
            <w:r w:rsidRPr="0082475B">
              <w:t>Uses formal and informal oral and written mathematical language and representation to communicate advice on WHS risk management in product design</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1.1, 1.2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 xml:space="preserve">Understands legal responsibilities across WHS product design compliance </w:t>
            </w:r>
            <w:r w:rsidRPr="0082475B">
              <w:t>contexts</w:t>
            </w:r>
          </w:p>
          <w:p w:rsidR="00000000" w:rsidP="0082475B">
            <w:pPr>
              <w:pStyle w:val="ListBullet"/>
              <w:rPr>
                <w:lang w:val="en-NZ"/>
              </w:rPr>
            </w:pPr>
            <w:r w:rsidRPr="0082475B">
              <w:t>Keeps up to date on changes to legislation or regulations relevant to own rights and responsibilities and considers implications of these when advising on compliance</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 xml:space="preserve">1.1, 1.2, 1.3, 1.6, 1.7, 2.1-2.6, 3.1, 3.2, 4.1- 4.3, 5.1, </w:t>
            </w:r>
            <w:r w:rsidRPr="0082475B">
              <w:t>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Actively identifies the requirements of important communication exchanges, selecting appropriate channels, format, tone and content to suit purpose and audience and monitoring impact when providing advice</w:t>
            </w:r>
          </w:p>
          <w:p w:rsidR="00000000" w:rsidP="0082475B">
            <w:pPr>
              <w:pStyle w:val="ListBullet"/>
              <w:rPr>
                <w:lang w:val="en-NZ"/>
              </w:rPr>
            </w:pPr>
            <w:r w:rsidRPr="0082475B">
              <w:t>Collaborates with others to achieve joint outc</w:t>
            </w:r>
            <w:r w:rsidRPr="0082475B">
              <w:t>omes, playing an active role in facilitating effective group interaction, influencing direction and taking a leadership role on occasion</w:t>
            </w:r>
          </w:p>
        </w:tc>
      </w:tr>
      <w:tr w:rsidTr="0082475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1.5, 1.6, 1.8, 2.1, 2.2, 2.3, 2.4, 2.5, 2.6, 3.1, 3.2, 4.3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ListBullet"/>
            </w:pPr>
            <w:r w:rsidRPr="0082475B">
              <w:t xml:space="preserve">Uses logical planning processes, and an </w:t>
            </w:r>
            <w:r w:rsidRPr="0082475B">
              <w:t xml:space="preserve">increasingly intuitive understanding of context, to organise training and identify specialist needs </w:t>
            </w:r>
          </w:p>
          <w:p w:rsidR="00000000" w:rsidRPr="0082475B" w:rsidP="0082475B">
            <w:pPr>
              <w:pStyle w:val="ListBullet"/>
            </w:pPr>
            <w:r w:rsidRPr="0082475B">
              <w:t>Uses systematic, analytical processes in co</w:t>
            </w:r>
            <w:r w:rsidRPr="0082475B">
              <w:t xml:space="preserve">mplex, non-routine situations, setting goals, gathering relevant information, and identifying and evaluating options against agreed criteria, seeking input and advice from others before taking action, when necessary </w:t>
            </w:r>
          </w:p>
          <w:p w:rsidR="00000000" w:rsidRPr="0082475B" w:rsidP="0082475B">
            <w:pPr>
              <w:pStyle w:val="ListBullet"/>
            </w:pPr>
            <w:r w:rsidRPr="0082475B">
              <w:t>Recognises the potential of new approac</w:t>
            </w:r>
            <w:r w:rsidRPr="0082475B">
              <w:t xml:space="preserve">hes to product life cycle risk management to enhance work practices and outcomes </w:t>
            </w:r>
          </w:p>
          <w:p w:rsidR="00000000" w:rsidRPr="0082475B" w:rsidP="0082475B">
            <w:pPr>
              <w:pStyle w:val="ListBullet"/>
            </w:pPr>
            <w:r w:rsidRPr="0082475B">
              <w:t>Uses digital systems and tools to access, record, organise, analyse, display and share information</w:t>
            </w:r>
          </w:p>
        </w:tc>
      </w:tr>
    </w:tbl>
    <w:p w:rsidR="00000000" w:rsidRPr="0082475B" w:rsidP="0082475B">
      <w:pPr>
        <w:pStyle w:val="BodyText"/>
      </w:pPr>
    </w:p>
    <w:p w:rsidR="00000000" w:rsidRPr="0082475B" w:rsidP="0082475B">
      <w:pPr>
        <w:pStyle w:val="AllowPageBreak"/>
      </w:pPr>
    </w:p>
    <w:p w:rsidR="00000000" w:rsidRPr="0082475B" w:rsidP="0082475B">
      <w:pPr>
        <w:pStyle w:val="Heading1"/>
      </w:pPr>
      <w:bookmarkStart w:id="6" w:name="O_647411"/>
      <w:bookmarkEnd w:id="6"/>
      <w:r w:rsidRPr="0082475B">
        <w:t>Range of Conditions</w:t>
      </w:r>
    </w:p>
    <w:p w:rsidR="00000000" w:rsidRPr="00971DEC" w:rsidP="00971DEC">
      <w:pPr>
        <w:pStyle w:val="BodyText"/>
        <w:rPr>
          <w:i/>
        </w:rPr>
      </w:pPr>
      <w:r w:rsidRPr="00971DEC">
        <w:rPr>
          <w:rStyle w:val="Emphasis"/>
        </w:rPr>
        <w:t>This section specifies different wor</w:t>
      </w:r>
      <w:r w:rsidRPr="00971DEC">
        <w:rPr>
          <w:rStyle w:val="Emphasis"/>
        </w:rPr>
        <w:t xml:space="preserve">k environments and conditions that may affect performance. Essential operating conditions that may be present (depending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82475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SpecialBold"/>
              </w:rPr>
              <w:t>Hier</w:t>
            </w:r>
            <w:r w:rsidRPr="0082475B">
              <w:rPr>
                <w:rStyle w:val="SpecialBold"/>
              </w:rPr>
              <w:t>archy of control</w:t>
            </w:r>
            <w:r w:rsidRPr="0082475B">
              <w:t xml:space="preserve">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Eliminating the hazard or risk and where this is not practicable minimising risk by:</w:t>
            </w:r>
          </w:p>
          <w:p w:rsidR="00000000" w:rsidRPr="0082475B" w:rsidP="0082475B">
            <w:pPr>
              <w:pStyle w:val="ListBullet"/>
            </w:pPr>
            <w:r w:rsidRPr="0082475B">
              <w:t>substitution of the hazard</w:t>
            </w:r>
          </w:p>
          <w:p w:rsidR="00000000" w:rsidRPr="0082475B" w:rsidP="0082475B">
            <w:pPr>
              <w:pStyle w:val="ListBullet"/>
            </w:pPr>
            <w:r w:rsidRPr="0082475B">
              <w:t>isolating the hazard from personnel</w:t>
            </w:r>
          </w:p>
          <w:p w:rsidR="00000000" w:rsidRPr="0082475B" w:rsidP="0082475B">
            <w:pPr>
              <w:pStyle w:val="ListBullet"/>
            </w:pPr>
            <w:r w:rsidRPr="0082475B">
              <w:t>using engineering controls</w:t>
            </w:r>
          </w:p>
          <w:p w:rsidR="00000000" w:rsidRPr="0082475B" w:rsidP="0082475B">
            <w:pPr>
              <w:pStyle w:val="ListBullet"/>
            </w:pPr>
            <w:r w:rsidRPr="0082475B">
              <w:t>using administrative controls (for example proced</w:t>
            </w:r>
            <w:r w:rsidRPr="0082475B">
              <w:t>ures and training)</w:t>
            </w:r>
          </w:p>
          <w:p w:rsidR="00000000" w:rsidRPr="0082475B" w:rsidP="0082475B">
            <w:pPr>
              <w:pStyle w:val="ListBullet"/>
            </w:pPr>
            <w:r w:rsidRPr="0082475B">
              <w:t>using personal protective equipment (PPE).</w:t>
            </w:r>
          </w:p>
        </w:tc>
      </w:tr>
    </w:tbl>
    <w:p w:rsidR="00000000" w:rsidRPr="0082475B" w:rsidP="0082475B">
      <w:pPr>
        <w:pStyle w:val="BodyText"/>
      </w:pPr>
    </w:p>
    <w:p w:rsidR="00000000" w:rsidRPr="0082475B" w:rsidP="0082475B">
      <w:pPr>
        <w:pStyle w:val="AllowPageBreak"/>
      </w:pPr>
    </w:p>
    <w:p w:rsidR="00000000" w:rsidRPr="0082475B" w:rsidP="0082475B">
      <w:pPr>
        <w:pStyle w:val="Heading1"/>
      </w:pPr>
      <w:bookmarkStart w:id="7" w:name="O_647413"/>
      <w:bookmarkEnd w:id="7"/>
      <w:r w:rsidRPr="0082475B">
        <w:t>Unit Mapping Information</w:t>
      </w:r>
    </w:p>
    <w:tbl>
      <w:tblPr>
        <w:tblW w:w="0" w:type="auto"/>
        <w:tblLayout w:type="fixed"/>
        <w:tblCellMar>
          <w:left w:w="62" w:type="dxa"/>
          <w:right w:w="62" w:type="dxa"/>
        </w:tblCellMar>
        <w:tblLook w:val="0000"/>
      </w:tblPr>
      <w:tblGrid>
        <w:gridCol w:w="2220"/>
        <w:gridCol w:w="2295"/>
        <w:gridCol w:w="2295"/>
        <w:gridCol w:w="2295"/>
      </w:tblGrid>
      <w:tr w:rsidTr="0082475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 xml:space="preserve">Code and title </w:t>
            </w:r>
          </w:p>
          <w:p w:rsidR="00000000" w:rsidRPr="0082475B" w:rsidP="0082475B">
            <w:pPr>
              <w:pStyle w:val="BodyText"/>
            </w:pPr>
            <w:r w:rsidRPr="0082475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Code and title</w:t>
            </w:r>
          </w:p>
          <w:p w:rsidR="00000000" w:rsidRPr="0082475B" w:rsidP="0082475B">
            <w:pPr>
              <w:pStyle w:val="BodyText"/>
            </w:pPr>
            <w:r w:rsidRPr="0082475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rPr>
                <w:rStyle w:val="SpecialBold"/>
              </w:rPr>
              <w:t>Equivalence status</w:t>
            </w:r>
          </w:p>
        </w:tc>
      </w:tr>
      <w:tr w:rsidTr="0082475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BSBWHS609 Advise on the application of safe design principles to control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BSBWHS609A Advise on the application of safe design principles to control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5B">
            <w:pPr>
              <w:pStyle w:val="BodyText"/>
              <w:rPr>
                <w:lang w:val="en-NZ"/>
              </w:rPr>
            </w:pPr>
            <w:r w:rsidRPr="0082475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5B" w:rsidP="0082475B">
            <w:pPr>
              <w:pStyle w:val="BodyText"/>
            </w:pPr>
            <w:r w:rsidRPr="0082475B">
              <w:t>Equivalent unit</w:t>
            </w:r>
          </w:p>
        </w:tc>
      </w:tr>
    </w:tbl>
    <w:p w:rsidR="00000000" w:rsidRPr="0082475B" w:rsidP="0082475B">
      <w:pPr>
        <w:pStyle w:val="BodyText"/>
      </w:pPr>
    </w:p>
    <w:p w:rsidR="00000000" w:rsidRPr="0082475B" w:rsidP="0082475B">
      <w:pPr>
        <w:pStyle w:val="AllowPageBreak"/>
      </w:pPr>
    </w:p>
    <w:p w:rsidR="00000000" w:rsidRPr="0082475B" w:rsidP="0082475B">
      <w:pPr>
        <w:pStyle w:val="Heading1"/>
      </w:pPr>
      <w:bookmarkStart w:id="8" w:name="O_647420"/>
      <w:bookmarkEnd w:id="8"/>
      <w:r w:rsidRPr="0082475B">
        <w:t>Links</w:t>
      </w:r>
    </w:p>
    <w:p w:rsidR="00000000" w:rsidRPr="0082475B" w:rsidP="00971DEC">
      <w:pPr>
        <w:pStyle w:val="BodyText"/>
      </w:pPr>
      <w:r w:rsidRPr="0082475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8775F">
        <w:rPr>
          <w:rStyle w:val="Hyperlink"/>
        </w:rPr>
        <w:t>https://vetnet.gov.au/Pages/TrainingDocs.aspx?q=11ef6853-ceed-4ba7-9d87-4da407e23c10</w:t>
      </w:r>
      <w:r>
        <w:fldChar w:fldCharType="end"/>
      </w:r>
    </w:p>
    <w:p w:rsidR="00000000" w:rsidRPr="0082475B" w:rsidP="0082475B"/>
    <w:sectPr w:rsidSect="008247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5B" w:rsidRPr="00971DEC" w:rsidP="00971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EC" w:rsidP="00824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DEC" w:rsidP="008247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71DEC" w:rsidP="008247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75B" w:rsidRPr="00971DEC" w:rsidP="00971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EC" w:rsidRPr="002D2AF8" w:rsidP="0082475B">
    <w:pPr>
      <w:pStyle w:val="Header"/>
      <w:framePr w:wrap="around"/>
    </w:pPr>
    <w:r>
      <w:fldChar w:fldCharType="begin"/>
    </w:r>
    <w:r>
      <w:instrText xml:space="preserve"> TITLE   \* MERGEFORMAT </w:instrText>
    </w:r>
    <w:r>
      <w:fldChar w:fldCharType="separate"/>
    </w:r>
    <w:r>
      <w:t>BSBWHS609 Advise on the application of safe design principles to control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71DEC" w:rsidP="008247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10F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A49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7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75B"/>
    <w:pPr>
      <w:spacing w:before="360" w:after="60"/>
      <w:outlineLvl w:val="0"/>
    </w:pPr>
    <w:rPr>
      <w:sz w:val="32"/>
    </w:rPr>
  </w:style>
  <w:style w:type="paragraph" w:styleId="Heading2">
    <w:name w:val="heading 2"/>
    <w:basedOn w:val="HeadingBase"/>
    <w:next w:val="BodyText"/>
    <w:link w:val="Heading2Char"/>
    <w:qFormat/>
    <w:rsid w:val="0082475B"/>
    <w:pPr>
      <w:keepLines/>
      <w:spacing w:before="240" w:after="120"/>
      <w:outlineLvl w:val="1"/>
    </w:pPr>
    <w:rPr>
      <w:sz w:val="28"/>
      <w:szCs w:val="40"/>
    </w:rPr>
  </w:style>
  <w:style w:type="paragraph" w:styleId="Heading3">
    <w:name w:val="heading 3"/>
    <w:basedOn w:val="HeadingBase"/>
    <w:next w:val="BodyText"/>
    <w:link w:val="Heading3Char"/>
    <w:qFormat/>
    <w:rsid w:val="0082475B"/>
    <w:pPr>
      <w:spacing w:before="180" w:after="120"/>
      <w:outlineLvl w:val="2"/>
    </w:pPr>
    <w:rPr>
      <w:spacing w:val="-10"/>
      <w:kern w:val="32"/>
    </w:rPr>
  </w:style>
  <w:style w:type="paragraph" w:styleId="Heading4">
    <w:name w:val="heading 4"/>
    <w:basedOn w:val="HeadingBase"/>
    <w:next w:val="BodyText"/>
    <w:link w:val="Heading4Char"/>
    <w:qFormat/>
    <w:rsid w:val="0082475B"/>
    <w:pPr>
      <w:spacing w:before="160" w:after="120"/>
      <w:outlineLvl w:val="3"/>
    </w:pPr>
    <w:rPr>
      <w:sz w:val="22"/>
    </w:rPr>
  </w:style>
  <w:style w:type="paragraph" w:styleId="Heading5">
    <w:name w:val="heading 5"/>
    <w:basedOn w:val="HeadingBase"/>
    <w:next w:val="Normal"/>
    <w:link w:val="Heading5Char"/>
    <w:qFormat/>
    <w:rsid w:val="0082475B"/>
    <w:pPr>
      <w:spacing w:before="80"/>
      <w:outlineLvl w:val="4"/>
    </w:pPr>
    <w:rPr>
      <w:color w:val="918585"/>
      <w:sz w:val="20"/>
    </w:rPr>
  </w:style>
  <w:style w:type="paragraph" w:styleId="Heading6">
    <w:name w:val="heading 6"/>
    <w:basedOn w:val="HeadingBase"/>
    <w:next w:val="Normal"/>
    <w:link w:val="Heading6Char"/>
    <w:qFormat/>
    <w:rsid w:val="0082475B"/>
    <w:pPr>
      <w:spacing w:before="60"/>
      <w:outlineLvl w:val="5"/>
    </w:pPr>
    <w:rPr>
      <w:color w:val="918585"/>
      <w:sz w:val="20"/>
    </w:rPr>
  </w:style>
  <w:style w:type="paragraph" w:styleId="Heading7">
    <w:name w:val="heading 7"/>
    <w:basedOn w:val="Normal"/>
    <w:next w:val="Normal"/>
    <w:link w:val="Heading7Char"/>
    <w:qFormat/>
    <w:rsid w:val="0082475B"/>
    <w:pPr>
      <w:ind w:left="720"/>
      <w:outlineLvl w:val="6"/>
    </w:pPr>
    <w:rPr>
      <w:i/>
    </w:rPr>
  </w:style>
  <w:style w:type="paragraph" w:styleId="Heading8">
    <w:name w:val="heading 8"/>
    <w:basedOn w:val="Normal"/>
    <w:next w:val="Normal"/>
    <w:link w:val="Heading8Char"/>
    <w:qFormat/>
    <w:rsid w:val="0082475B"/>
    <w:pPr>
      <w:ind w:left="720"/>
      <w:outlineLvl w:val="7"/>
    </w:pPr>
    <w:rPr>
      <w:i/>
    </w:rPr>
  </w:style>
  <w:style w:type="paragraph" w:styleId="Heading9">
    <w:name w:val="heading 9"/>
    <w:basedOn w:val="Normal"/>
    <w:next w:val="Normal"/>
    <w:link w:val="Heading9Char"/>
    <w:qFormat/>
    <w:rsid w:val="0082475B"/>
    <w:pPr>
      <w:ind w:left="720"/>
      <w:outlineLvl w:val="8"/>
    </w:pPr>
    <w:rPr>
      <w:i/>
    </w:rPr>
  </w:style>
  <w:style w:type="character" w:default="1" w:styleId="DefaultParagraphFont">
    <w:name w:val="Default Paragraph Font"/>
    <w:uiPriority w:val="1"/>
    <w:unhideWhenUsed/>
    <w:rsid w:val="00824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75B"/>
  </w:style>
  <w:style w:type="character" w:customStyle="1" w:styleId="Heading1Char">
    <w:name w:val="Heading 1 Char"/>
    <w:basedOn w:val="DefaultParagraphFont"/>
    <w:link w:val="Heading1"/>
    <w:rsid w:val="0082475B"/>
    <w:rPr>
      <w:rFonts w:ascii="Times New Roman" w:eastAsia="Times New Roman" w:hAnsi="Times New Roman" w:cs="Times New Roman"/>
      <w:b/>
      <w:sz w:val="32"/>
      <w:szCs w:val="20"/>
      <w:lang w:eastAsia="en-US"/>
    </w:rPr>
  </w:style>
  <w:style w:type="paragraph" w:styleId="BodyText">
    <w:name w:val="Body Text"/>
    <w:basedOn w:val="Normal"/>
    <w:link w:val="BodyTextChar"/>
    <w:rsid w:val="008247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75B"/>
    <w:rPr>
      <w:rFonts w:ascii="Times New Roman" w:eastAsia="Times New Roman" w:hAnsi="Times New Roman" w:cs="Times New Roman"/>
      <w:sz w:val="24"/>
      <w:lang w:eastAsia="en-US"/>
    </w:rPr>
  </w:style>
  <w:style w:type="paragraph" w:styleId="ListBullet">
    <w:name w:val="List Bullet"/>
    <w:basedOn w:val="List"/>
    <w:rsid w:val="0082475B"/>
    <w:pPr>
      <w:numPr>
        <w:numId w:val="11"/>
      </w:numPr>
      <w:tabs>
        <w:tab w:val="clear" w:pos="340"/>
      </w:tabs>
      <w:spacing w:before="40" w:after="40"/>
    </w:pPr>
  </w:style>
  <w:style w:type="character" w:customStyle="1" w:styleId="SpecialBold">
    <w:name w:val="Special Bold"/>
    <w:basedOn w:val="DefaultParagraphFont"/>
    <w:rsid w:val="0082475B"/>
    <w:rPr>
      <w:b/>
      <w:spacing w:val="0"/>
    </w:rPr>
  </w:style>
  <w:style w:type="character" w:styleId="Emphasis">
    <w:name w:val="Emphasis"/>
    <w:basedOn w:val="DefaultParagraphFont"/>
    <w:qFormat/>
    <w:rsid w:val="0082475B"/>
    <w:rPr>
      <w:i/>
    </w:rPr>
  </w:style>
  <w:style w:type="paragraph" w:customStyle="1" w:styleId="SuperHeading">
    <w:name w:val="SuperHeading"/>
    <w:basedOn w:val="Normal"/>
    <w:rsid w:val="0082475B"/>
    <w:pPr>
      <w:spacing w:before="240" w:after="120"/>
      <w:outlineLvl w:val="0"/>
    </w:pPr>
    <w:rPr>
      <w:rFonts w:ascii="Times New Roman" w:hAnsi="Times New Roman"/>
      <w:b/>
      <w:sz w:val="32"/>
    </w:rPr>
  </w:style>
  <w:style w:type="paragraph" w:customStyle="1" w:styleId="AllowPageBreak">
    <w:name w:val="AllowPageBreak"/>
    <w:rsid w:val="008247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7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7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7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7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7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7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75B"/>
    <w:rPr>
      <w:rFonts w:ascii="Courier New" w:eastAsia="Times New Roman" w:hAnsi="Courier New" w:cs="Times New Roman"/>
      <w:i/>
      <w:szCs w:val="20"/>
      <w:lang w:eastAsia="en-US"/>
    </w:rPr>
  </w:style>
  <w:style w:type="paragraph" w:customStyle="1" w:styleId="HeadingBase">
    <w:name w:val="Heading Base"/>
    <w:rsid w:val="00824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75B"/>
    <w:pPr>
      <w:tabs>
        <w:tab w:val="right" w:leader="dot" w:pos="9072"/>
      </w:tabs>
      <w:ind w:left="567"/>
    </w:pPr>
    <w:rPr>
      <w:szCs w:val="22"/>
    </w:rPr>
  </w:style>
  <w:style w:type="paragraph" w:customStyle="1" w:styleId="TOCBase">
    <w:name w:val="TOC Base"/>
    <w:rsid w:val="00824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75B"/>
    <w:pPr>
      <w:tabs>
        <w:tab w:val="right" w:leader="dot" w:pos="9072"/>
      </w:tabs>
      <w:spacing w:before="40" w:after="40"/>
      <w:ind w:left="284"/>
    </w:pPr>
    <w:rPr>
      <w:rFonts w:ascii="Times New Roman" w:hAnsi="Times New Roman"/>
    </w:rPr>
  </w:style>
  <w:style w:type="paragraph" w:styleId="TOC1">
    <w:name w:val="toc 1"/>
    <w:basedOn w:val="TOCBase"/>
    <w:next w:val="Normal"/>
    <w:rsid w:val="008247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75B"/>
    <w:rPr>
      <w:rFonts w:ascii="Times New Roman" w:eastAsia="Times New Roman" w:hAnsi="Times New Roman" w:cs="Times New Roman"/>
      <w:sz w:val="16"/>
      <w:lang w:eastAsia="en-US"/>
    </w:rPr>
  </w:style>
  <w:style w:type="paragraph" w:styleId="Title">
    <w:name w:val="Title"/>
    <w:basedOn w:val="HeadingBase"/>
    <w:link w:val="TitleChar"/>
    <w:qFormat/>
    <w:rsid w:val="0082475B"/>
    <w:pPr>
      <w:spacing w:before="5040"/>
      <w:jc w:val="center"/>
    </w:pPr>
    <w:rPr>
      <w:sz w:val="48"/>
      <w:szCs w:val="72"/>
      <w:lang w:val="en-US"/>
    </w:rPr>
  </w:style>
  <w:style w:type="character" w:customStyle="1" w:styleId="TitleChar">
    <w:name w:val="Title Char"/>
    <w:basedOn w:val="DefaultParagraphFont"/>
    <w:link w:val="Title"/>
    <w:rsid w:val="00824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75B"/>
    <w:pPr>
      <w:tabs>
        <w:tab w:val="left" w:pos="3600"/>
        <w:tab w:val="left" w:pos="3958"/>
      </w:tabs>
    </w:pPr>
  </w:style>
  <w:style w:type="paragraph" w:styleId="List">
    <w:name w:val="List"/>
    <w:basedOn w:val="BodyText"/>
    <w:next w:val="BodyText"/>
    <w:rsid w:val="0082475B"/>
    <w:pPr>
      <w:tabs>
        <w:tab w:val="left" w:pos="340"/>
      </w:tabs>
      <w:spacing w:before="60" w:after="60"/>
      <w:ind w:left="340" w:hanging="340"/>
    </w:pPr>
  </w:style>
  <w:style w:type="paragraph" w:customStyle="1" w:styleId="Note">
    <w:name w:val="Note"/>
    <w:basedOn w:val="BodyText"/>
    <w:rsid w:val="00824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75B"/>
    <w:pPr>
      <w:framePr w:wrap="auto" w:hAnchor="text" w:y="6049"/>
    </w:pPr>
    <w:rPr>
      <w:color w:val="000000"/>
      <w:sz w:val="40"/>
    </w:rPr>
  </w:style>
  <w:style w:type="paragraph" w:customStyle="1" w:styleId="TOCTitle">
    <w:name w:val="TOCTitle"/>
    <w:basedOn w:val="Heading1"/>
    <w:rsid w:val="0082475B"/>
    <w:pPr>
      <w:spacing w:after="240"/>
      <w:jc w:val="center"/>
      <w:outlineLvl w:val="9"/>
    </w:pPr>
    <w:rPr>
      <w:caps/>
    </w:rPr>
  </w:style>
  <w:style w:type="paragraph" w:customStyle="1" w:styleId="Version">
    <w:name w:val="Version"/>
    <w:rsid w:val="008247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75B"/>
    <w:pPr>
      <w:numPr>
        <w:numId w:val="12"/>
      </w:numPr>
      <w:tabs>
        <w:tab w:val="clear" w:pos="680"/>
      </w:tabs>
    </w:pPr>
  </w:style>
  <w:style w:type="paragraph" w:styleId="Index1">
    <w:name w:val="index 1"/>
    <w:basedOn w:val="Normal"/>
    <w:next w:val="Normal"/>
    <w:semiHidden/>
    <w:rsid w:val="0082475B"/>
    <w:pPr>
      <w:keepNext w:val="0"/>
      <w:tabs>
        <w:tab w:val="right" w:pos="4176"/>
      </w:tabs>
      <w:ind w:left="198" w:hanging="198"/>
    </w:pPr>
    <w:rPr>
      <w:rFonts w:ascii="Garamond" w:hAnsi="Garamond"/>
    </w:rPr>
  </w:style>
  <w:style w:type="paragraph" w:styleId="IndexHeading">
    <w:name w:val="index heading"/>
    <w:basedOn w:val="Normal"/>
    <w:next w:val="Index1"/>
    <w:semiHidden/>
    <w:rsid w:val="0082475B"/>
    <w:pPr>
      <w:spacing w:before="120" w:after="120"/>
    </w:pPr>
    <w:rPr>
      <w:rFonts w:ascii="Arial" w:hAnsi="Arial"/>
      <w:b/>
      <w:color w:val="918585"/>
      <w:sz w:val="24"/>
    </w:rPr>
  </w:style>
  <w:style w:type="paragraph" w:styleId="Header">
    <w:name w:val="header"/>
    <w:basedOn w:val="Normal"/>
    <w:link w:val="HeaderChar"/>
    <w:rsid w:val="00824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75B"/>
    <w:rPr>
      <w:rFonts w:ascii="Times New Roman" w:eastAsia="Times New Roman" w:hAnsi="Times New Roman" w:cs="Times New Roman"/>
      <w:sz w:val="16"/>
      <w:szCs w:val="20"/>
      <w:lang w:val="en-GB" w:eastAsia="en-US"/>
    </w:rPr>
  </w:style>
  <w:style w:type="paragraph" w:customStyle="1" w:styleId="Chapter">
    <w:name w:val="Chapter"/>
    <w:basedOn w:val="Normal"/>
    <w:rsid w:val="0082475B"/>
    <w:pPr>
      <w:spacing w:before="240"/>
    </w:pPr>
    <w:rPr>
      <w:rFonts w:ascii="Times New Roman" w:hAnsi="Times New Roman"/>
      <w:smallCaps/>
      <w:spacing w:val="80"/>
      <w:sz w:val="28"/>
    </w:rPr>
  </w:style>
  <w:style w:type="paragraph" w:customStyle="1" w:styleId="InChapter">
    <w:name w:val="InChapter"/>
    <w:basedOn w:val="Heading3"/>
    <w:rsid w:val="0082475B"/>
    <w:pPr>
      <w:spacing w:after="240"/>
      <w:outlineLvl w:val="9"/>
    </w:pPr>
    <w:rPr>
      <w:noProof/>
    </w:rPr>
  </w:style>
  <w:style w:type="paragraph" w:styleId="Index2">
    <w:name w:val="index 2"/>
    <w:basedOn w:val="Normal"/>
    <w:next w:val="Normal"/>
    <w:semiHidden/>
    <w:rsid w:val="0082475B"/>
    <w:pPr>
      <w:tabs>
        <w:tab w:val="right" w:pos="4176"/>
      </w:tabs>
      <w:ind w:left="568" w:hanging="284"/>
    </w:pPr>
    <w:rPr>
      <w:rFonts w:ascii="Garamond" w:hAnsi="Garamond"/>
    </w:rPr>
  </w:style>
  <w:style w:type="paragraph" w:customStyle="1" w:styleId="Byline">
    <w:name w:val="Byline"/>
    <w:rsid w:val="00824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75B"/>
    <w:pPr>
      <w:tabs>
        <w:tab w:val="clear" w:pos="3600"/>
        <w:tab w:val="clear" w:pos="3958"/>
      </w:tabs>
      <w:jc w:val="right"/>
    </w:pPr>
  </w:style>
  <w:style w:type="paragraph" w:styleId="Caption">
    <w:name w:val="caption"/>
    <w:basedOn w:val="BodyText"/>
    <w:next w:val="Normal"/>
    <w:qFormat/>
    <w:rsid w:val="0082475B"/>
    <w:pPr>
      <w:framePr w:w="2268" w:hSpace="181" w:vSpace="181" w:wrap="around" w:vAnchor="text" w:hAnchor="page" w:x="1135" w:y="285" w:anchorLock="1"/>
    </w:pPr>
    <w:rPr>
      <w:i/>
    </w:rPr>
  </w:style>
  <w:style w:type="paragraph" w:customStyle="1" w:styleId="MiniTOCTitle">
    <w:name w:val="MiniTOCTitle"/>
    <w:basedOn w:val="Heading4"/>
    <w:rsid w:val="0082475B"/>
    <w:pPr>
      <w:spacing w:before="240"/>
      <w:outlineLvl w:val="9"/>
    </w:pPr>
    <w:rPr>
      <w:noProof/>
      <w:sz w:val="24"/>
    </w:rPr>
  </w:style>
  <w:style w:type="paragraph" w:customStyle="1" w:styleId="MiniTOCItem">
    <w:name w:val="MiniTOCItem"/>
    <w:basedOn w:val="ListBullet"/>
    <w:rsid w:val="0082475B"/>
    <w:pPr>
      <w:numPr>
        <w:numId w:val="0"/>
      </w:numPr>
      <w:tabs>
        <w:tab w:val="right" w:leader="dot" w:pos="6521"/>
      </w:tabs>
      <w:spacing w:before="0" w:after="0"/>
    </w:pPr>
  </w:style>
  <w:style w:type="paragraph" w:customStyle="1" w:styleId="TOFTitle">
    <w:name w:val="TOFTitle"/>
    <w:basedOn w:val="TOCTitle"/>
    <w:rsid w:val="0082475B"/>
  </w:style>
  <w:style w:type="paragraph" w:styleId="TableofFigures">
    <w:name w:val="table of figures"/>
    <w:basedOn w:val="Normal"/>
    <w:next w:val="Normal"/>
    <w:semiHidden/>
    <w:rsid w:val="0082475B"/>
    <w:pPr>
      <w:tabs>
        <w:tab w:val="right" w:leader="dot" w:pos="9072"/>
      </w:tabs>
      <w:ind w:left="970" w:hanging="403"/>
    </w:pPr>
    <w:rPr>
      <w:rFonts w:ascii="Times New Roman" w:hAnsi="Times New Roman"/>
      <w:b/>
    </w:rPr>
  </w:style>
  <w:style w:type="paragraph" w:styleId="ListNumber">
    <w:name w:val="List Number"/>
    <w:basedOn w:val="List"/>
    <w:rsid w:val="0082475B"/>
    <w:pPr>
      <w:numPr>
        <w:numId w:val="14"/>
      </w:numPr>
      <w:tabs>
        <w:tab w:val="clear" w:pos="340"/>
      </w:tabs>
    </w:pPr>
  </w:style>
  <w:style w:type="character" w:customStyle="1" w:styleId="WingdingSymbols">
    <w:name w:val="Wingding Symbols"/>
    <w:rsid w:val="0082475B"/>
    <w:rPr>
      <w:rFonts w:ascii="Wingdings" w:hAnsi="Wingdings"/>
    </w:rPr>
  </w:style>
  <w:style w:type="paragraph" w:customStyle="1" w:styleId="TableHeading">
    <w:name w:val="Table Heading"/>
    <w:basedOn w:val="HeadingBase"/>
    <w:rsid w:val="0082475B"/>
    <w:pPr>
      <w:keepLines/>
      <w:pBdr>
        <w:bottom w:val="single" w:sz="6" w:space="1" w:color="918585"/>
      </w:pBdr>
      <w:spacing w:before="240"/>
    </w:pPr>
  </w:style>
  <w:style w:type="character" w:customStyle="1" w:styleId="HotSpot">
    <w:name w:val="HotSpot"/>
    <w:rsid w:val="0082475B"/>
    <w:rPr>
      <w:color w:val="0033CC"/>
      <w:u w:val="none"/>
    </w:rPr>
  </w:style>
  <w:style w:type="paragraph" w:customStyle="1" w:styleId="BodyTextRight">
    <w:name w:val="Body Text Right"/>
    <w:basedOn w:val="BodyText"/>
    <w:rsid w:val="0082475B"/>
    <w:pPr>
      <w:spacing w:before="0" w:after="0"/>
      <w:jc w:val="right"/>
    </w:pPr>
  </w:style>
  <w:style w:type="paragraph" w:styleId="Index3">
    <w:name w:val="index 3"/>
    <w:basedOn w:val="ListNumber2"/>
    <w:next w:val="Normal"/>
    <w:semiHidden/>
    <w:rsid w:val="0082475B"/>
    <w:pPr>
      <w:numPr>
        <w:numId w:val="0"/>
      </w:numPr>
      <w:tabs>
        <w:tab w:val="right" w:leader="dot" w:pos="4176"/>
      </w:tabs>
    </w:pPr>
  </w:style>
  <w:style w:type="paragraph" w:styleId="ListNumber2">
    <w:name w:val="List Number 2"/>
    <w:basedOn w:val="List2"/>
    <w:rsid w:val="0082475B"/>
    <w:pPr>
      <w:numPr>
        <w:numId w:val="9"/>
      </w:numPr>
      <w:tabs>
        <w:tab w:val="clear" w:pos="1060"/>
      </w:tabs>
    </w:pPr>
  </w:style>
  <w:style w:type="paragraph" w:customStyle="1" w:styleId="MarginNote">
    <w:name w:val="Margin Note"/>
    <w:basedOn w:val="BodyText"/>
    <w:rsid w:val="00824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7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75B"/>
    <w:rPr>
      <w:sz w:val="32"/>
    </w:rPr>
  </w:style>
  <w:style w:type="paragraph" w:customStyle="1" w:styleId="HeadingProcedure">
    <w:name w:val="Heading Procedure"/>
    <w:basedOn w:val="HeadingBase"/>
    <w:next w:val="Normal"/>
    <w:rsid w:val="0082475B"/>
    <w:pPr>
      <w:tabs>
        <w:tab w:val="left" w:pos="0"/>
      </w:tabs>
      <w:spacing w:before="120" w:after="60"/>
    </w:pPr>
    <w:rPr>
      <w:i/>
      <w:color w:val="918585"/>
      <w:sz w:val="22"/>
    </w:rPr>
  </w:style>
  <w:style w:type="paragraph" w:customStyle="1" w:styleId="TableBodyText">
    <w:name w:val="Table Body Text"/>
    <w:basedOn w:val="BodyText"/>
    <w:rsid w:val="0082475B"/>
    <w:pPr>
      <w:spacing w:before="60" w:after="60"/>
    </w:pPr>
  </w:style>
  <w:style w:type="paragraph" w:styleId="ListContinue">
    <w:name w:val="List Continue"/>
    <w:basedOn w:val="List"/>
    <w:rsid w:val="0082475B"/>
    <w:pPr>
      <w:ind w:firstLine="0"/>
    </w:pPr>
  </w:style>
  <w:style w:type="paragraph" w:customStyle="1" w:styleId="ListNote">
    <w:name w:val="List Note"/>
    <w:basedOn w:val="List"/>
    <w:rsid w:val="0082475B"/>
    <w:pPr>
      <w:pBdr>
        <w:top w:val="single" w:sz="6" w:space="2" w:color="918585"/>
        <w:bottom w:val="single" w:sz="6" w:space="2" w:color="918585"/>
      </w:pBdr>
      <w:tabs>
        <w:tab w:val="left" w:pos="1021"/>
      </w:tabs>
      <w:ind w:firstLine="0"/>
    </w:pPr>
  </w:style>
  <w:style w:type="paragraph" w:customStyle="1" w:styleId="Warning">
    <w:name w:val="Warning"/>
    <w:basedOn w:val="BodyText"/>
    <w:rsid w:val="0082475B"/>
    <w:pPr>
      <w:shd w:val="clear" w:color="auto" w:fill="D9D9D9"/>
      <w:tabs>
        <w:tab w:val="left" w:pos="992"/>
      </w:tabs>
      <w:ind w:left="119" w:right="119"/>
    </w:pPr>
    <w:rPr>
      <w:sz w:val="20"/>
    </w:rPr>
  </w:style>
  <w:style w:type="paragraph" w:customStyle="1" w:styleId="MarginIcons">
    <w:name w:val="Margin Icons"/>
    <w:basedOn w:val="BodyText"/>
    <w:rsid w:val="008247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75B"/>
    <w:rPr>
      <w:rFonts w:ascii="Courier New" w:hAnsi="Courier New"/>
    </w:rPr>
  </w:style>
  <w:style w:type="paragraph" w:customStyle="1" w:styleId="NoteBullet">
    <w:name w:val="Note Bullet"/>
    <w:basedOn w:val="Note"/>
    <w:rsid w:val="0082475B"/>
    <w:pPr>
      <w:tabs>
        <w:tab w:val="clear" w:pos="680"/>
      </w:tabs>
      <w:spacing w:before="60" w:after="60"/>
    </w:pPr>
  </w:style>
  <w:style w:type="paragraph" w:customStyle="1" w:styleId="SubHeading2">
    <w:name w:val="SubHeading2"/>
    <w:basedOn w:val="HeadingBase"/>
    <w:rsid w:val="0082475B"/>
    <w:pPr>
      <w:spacing w:before="240" w:after="60"/>
    </w:pPr>
    <w:rPr>
      <w:sz w:val="20"/>
    </w:rPr>
  </w:style>
  <w:style w:type="paragraph" w:customStyle="1" w:styleId="SubHeading1">
    <w:name w:val="SubHeading1"/>
    <w:basedOn w:val="HeadingBase"/>
    <w:rsid w:val="0082475B"/>
    <w:pPr>
      <w:spacing w:before="240" w:after="60"/>
    </w:pPr>
    <w:rPr>
      <w:color w:val="918585"/>
      <w:sz w:val="22"/>
    </w:rPr>
  </w:style>
  <w:style w:type="paragraph" w:customStyle="1" w:styleId="SideHeading">
    <w:name w:val="Side Heading"/>
    <w:basedOn w:val="HeadingBase"/>
    <w:rsid w:val="00824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75B"/>
    <w:pPr>
      <w:numPr>
        <w:numId w:val="10"/>
      </w:numPr>
    </w:pPr>
  </w:style>
  <w:style w:type="paragraph" w:styleId="PlainText">
    <w:name w:val="Plain Text"/>
    <w:basedOn w:val="Normal"/>
    <w:link w:val="PlainTextChar"/>
    <w:rsid w:val="0082475B"/>
    <w:rPr>
      <w:sz w:val="20"/>
    </w:rPr>
  </w:style>
  <w:style w:type="character" w:customStyle="1" w:styleId="PlainTextChar">
    <w:name w:val="Plain Text Char"/>
    <w:basedOn w:val="DefaultParagraphFont"/>
    <w:link w:val="PlainText"/>
    <w:rsid w:val="0082475B"/>
    <w:rPr>
      <w:rFonts w:ascii="Courier New" w:eastAsia="Times New Roman" w:hAnsi="Courier New" w:cs="Times New Roman"/>
      <w:sz w:val="20"/>
      <w:szCs w:val="20"/>
      <w:lang w:eastAsia="en-US"/>
    </w:rPr>
  </w:style>
  <w:style w:type="character" w:customStyle="1" w:styleId="MenuOption">
    <w:name w:val="Menu Option"/>
    <w:basedOn w:val="DefaultParagraphFont"/>
    <w:rsid w:val="0082475B"/>
    <w:rPr>
      <w:b/>
      <w:smallCaps/>
    </w:rPr>
  </w:style>
  <w:style w:type="paragraph" w:customStyle="1" w:styleId="TableListNumber">
    <w:name w:val="Table List Number"/>
    <w:basedOn w:val="ListNumber"/>
    <w:rsid w:val="0082475B"/>
    <w:pPr>
      <w:numPr>
        <w:numId w:val="0"/>
      </w:numPr>
    </w:pPr>
  </w:style>
  <w:style w:type="paragraph" w:styleId="TOC4">
    <w:name w:val="toc 4"/>
    <w:basedOn w:val="TOCBase"/>
    <w:next w:val="Normal"/>
    <w:semiHidden/>
    <w:rsid w:val="0082475B"/>
    <w:pPr>
      <w:tabs>
        <w:tab w:val="right" w:leader="dot" w:pos="9071"/>
      </w:tabs>
      <w:ind w:left="1701"/>
    </w:pPr>
  </w:style>
  <w:style w:type="paragraph" w:customStyle="1" w:styleId="ListAlpha">
    <w:name w:val="List Alpha"/>
    <w:basedOn w:val="List"/>
    <w:rsid w:val="0082475B"/>
    <w:pPr>
      <w:numPr>
        <w:numId w:val="8"/>
      </w:numPr>
    </w:pPr>
  </w:style>
  <w:style w:type="paragraph" w:customStyle="1" w:styleId="ListAlpha2">
    <w:name w:val="List Alpha 2"/>
    <w:basedOn w:val="List2"/>
    <w:rsid w:val="0082475B"/>
    <w:pPr>
      <w:numPr>
        <w:numId w:val="7"/>
      </w:numPr>
    </w:pPr>
  </w:style>
  <w:style w:type="paragraph" w:styleId="List2">
    <w:name w:val="List 2"/>
    <w:basedOn w:val="BodyText"/>
    <w:rsid w:val="0082475B"/>
    <w:pPr>
      <w:tabs>
        <w:tab w:val="left" w:pos="680"/>
      </w:tabs>
      <w:spacing w:before="60" w:after="60"/>
      <w:ind w:left="680" w:hanging="340"/>
    </w:pPr>
  </w:style>
  <w:style w:type="paragraph" w:styleId="List3">
    <w:name w:val="List 3"/>
    <w:basedOn w:val="BodyText"/>
    <w:rsid w:val="0082475B"/>
    <w:pPr>
      <w:tabs>
        <w:tab w:val="left" w:pos="1021"/>
      </w:tabs>
      <w:spacing w:before="60" w:after="60"/>
      <w:ind w:left="1020" w:hanging="340"/>
    </w:pPr>
  </w:style>
  <w:style w:type="paragraph" w:styleId="List4">
    <w:name w:val="List 4"/>
    <w:basedOn w:val="BodyText"/>
    <w:rsid w:val="0082475B"/>
    <w:pPr>
      <w:tabs>
        <w:tab w:val="left" w:pos="1361"/>
      </w:tabs>
      <w:spacing w:before="60" w:after="60"/>
      <w:ind w:left="1361" w:hanging="340"/>
    </w:pPr>
  </w:style>
  <w:style w:type="paragraph" w:styleId="List5">
    <w:name w:val="List 5"/>
    <w:basedOn w:val="BodyText"/>
    <w:rsid w:val="0082475B"/>
    <w:pPr>
      <w:tabs>
        <w:tab w:val="left" w:pos="1701"/>
      </w:tabs>
      <w:spacing w:before="60" w:after="60"/>
      <w:ind w:left="1701" w:hanging="340"/>
    </w:pPr>
  </w:style>
  <w:style w:type="paragraph" w:styleId="ListBullet3">
    <w:name w:val="List Bullet 3"/>
    <w:basedOn w:val="List3"/>
    <w:rsid w:val="0082475B"/>
    <w:pPr>
      <w:numPr>
        <w:numId w:val="13"/>
      </w:numPr>
      <w:tabs>
        <w:tab w:val="clear" w:pos="1021"/>
      </w:tabs>
      <w:ind w:left="1037" w:hanging="357"/>
    </w:pPr>
  </w:style>
  <w:style w:type="paragraph" w:styleId="ListBullet4">
    <w:name w:val="List Bullet 4"/>
    <w:basedOn w:val="List4"/>
    <w:rsid w:val="0082475B"/>
    <w:pPr>
      <w:numPr>
        <w:numId w:val="2"/>
      </w:numPr>
      <w:tabs>
        <w:tab w:val="clear" w:pos="1361"/>
      </w:tabs>
    </w:pPr>
  </w:style>
  <w:style w:type="paragraph" w:styleId="ListBullet5">
    <w:name w:val="List Bullet 5"/>
    <w:basedOn w:val="List5"/>
    <w:rsid w:val="0082475B"/>
    <w:pPr>
      <w:numPr>
        <w:numId w:val="3"/>
      </w:numPr>
    </w:pPr>
  </w:style>
  <w:style w:type="paragraph" w:styleId="ListContinue2">
    <w:name w:val="List Continue 2"/>
    <w:basedOn w:val="List2"/>
    <w:rsid w:val="0082475B"/>
    <w:pPr>
      <w:ind w:firstLine="0"/>
    </w:pPr>
  </w:style>
  <w:style w:type="paragraph" w:styleId="ListContinue3">
    <w:name w:val="List Continue 3"/>
    <w:basedOn w:val="List3"/>
    <w:rsid w:val="0082475B"/>
    <w:pPr>
      <w:ind w:left="1021" w:firstLine="0"/>
    </w:pPr>
  </w:style>
  <w:style w:type="paragraph" w:styleId="ListContinue4">
    <w:name w:val="List Continue 4"/>
    <w:basedOn w:val="List4"/>
    <w:rsid w:val="0082475B"/>
    <w:pPr>
      <w:ind w:firstLine="0"/>
    </w:pPr>
  </w:style>
  <w:style w:type="paragraph" w:styleId="ListContinue5">
    <w:name w:val="List Continue 5"/>
    <w:basedOn w:val="List5"/>
    <w:rsid w:val="0082475B"/>
    <w:pPr>
      <w:ind w:firstLine="0"/>
    </w:pPr>
  </w:style>
  <w:style w:type="paragraph" w:styleId="ListNumber3">
    <w:name w:val="List Number 3"/>
    <w:basedOn w:val="List3"/>
    <w:rsid w:val="0082475B"/>
    <w:pPr>
      <w:numPr>
        <w:numId w:val="4"/>
      </w:numPr>
    </w:pPr>
  </w:style>
  <w:style w:type="paragraph" w:styleId="ListNumber4">
    <w:name w:val="List Number 4"/>
    <w:basedOn w:val="List4"/>
    <w:rsid w:val="0082475B"/>
    <w:pPr>
      <w:numPr>
        <w:numId w:val="5"/>
      </w:numPr>
    </w:pPr>
  </w:style>
  <w:style w:type="paragraph" w:styleId="ListNumber5">
    <w:name w:val="List Number 5"/>
    <w:basedOn w:val="List5"/>
    <w:rsid w:val="0082475B"/>
    <w:pPr>
      <w:numPr>
        <w:numId w:val="6"/>
      </w:numPr>
    </w:pPr>
  </w:style>
  <w:style w:type="paragraph" w:styleId="BlockText">
    <w:name w:val="Block Text"/>
    <w:basedOn w:val="Normal"/>
    <w:rsid w:val="0082475B"/>
    <w:pPr>
      <w:spacing w:after="120"/>
      <w:ind w:left="1440" w:right="1440"/>
    </w:pPr>
  </w:style>
  <w:style w:type="character" w:customStyle="1" w:styleId="Subscript">
    <w:name w:val="Subscript"/>
    <w:basedOn w:val="DefaultParagraphFont"/>
    <w:rsid w:val="0082475B"/>
    <w:rPr>
      <w:sz w:val="16"/>
      <w:vertAlign w:val="subscript"/>
    </w:rPr>
  </w:style>
  <w:style w:type="character" w:customStyle="1" w:styleId="Superscript">
    <w:name w:val="Superscript"/>
    <w:basedOn w:val="DefaultParagraphFont"/>
    <w:rsid w:val="0082475B"/>
    <w:rPr>
      <w:sz w:val="16"/>
      <w:vertAlign w:val="superscript"/>
    </w:rPr>
  </w:style>
  <w:style w:type="character" w:customStyle="1" w:styleId="Symbols">
    <w:name w:val="Symbols"/>
    <w:basedOn w:val="DefaultParagraphFont"/>
    <w:rsid w:val="0082475B"/>
    <w:rPr>
      <w:rFonts w:ascii="Symbol" w:hAnsi="Symbol"/>
    </w:rPr>
  </w:style>
  <w:style w:type="character" w:customStyle="1" w:styleId="MenuOptions">
    <w:name w:val="Menu Options"/>
    <w:basedOn w:val="DefaultParagraphFont"/>
    <w:rsid w:val="0082475B"/>
    <w:rPr>
      <w:rFonts w:ascii="Arial Narrow" w:hAnsi="Arial Narrow"/>
      <w:smallCaps/>
    </w:rPr>
  </w:style>
  <w:style w:type="character" w:customStyle="1" w:styleId="Buttons">
    <w:name w:val="Buttons"/>
    <w:basedOn w:val="DefaultParagraphFont"/>
    <w:rsid w:val="0082475B"/>
    <w:rPr>
      <w:b/>
    </w:rPr>
  </w:style>
  <w:style w:type="character" w:customStyle="1" w:styleId="Underlined">
    <w:name w:val="Underlined"/>
    <w:basedOn w:val="DefaultParagraphFont"/>
    <w:rsid w:val="0082475B"/>
    <w:rPr>
      <w:u w:val="single"/>
    </w:rPr>
  </w:style>
  <w:style w:type="paragraph" w:customStyle="1" w:styleId="TableBodyTextRight">
    <w:name w:val="Table Body Text Right"/>
    <w:basedOn w:val="TableBodyText"/>
    <w:rsid w:val="0082475B"/>
    <w:pPr>
      <w:widowControl w:val="0"/>
      <w:autoSpaceDE w:val="0"/>
      <w:autoSpaceDN w:val="0"/>
      <w:adjustRightInd w:val="0"/>
      <w:jc w:val="right"/>
    </w:pPr>
    <w:rPr>
      <w:rFonts w:cs="Arial"/>
      <w:szCs w:val="18"/>
    </w:rPr>
  </w:style>
  <w:style w:type="paragraph" w:customStyle="1" w:styleId="CopyrightText">
    <w:name w:val="Copyright Text"/>
    <w:basedOn w:val="BodyText"/>
    <w:rsid w:val="0082475B"/>
    <w:rPr>
      <w:sz w:val="18"/>
    </w:rPr>
  </w:style>
  <w:style w:type="paragraph" w:customStyle="1" w:styleId="BodySmallRight">
    <w:name w:val="Body Small Right"/>
    <w:basedOn w:val="BodyTextRight"/>
    <w:rsid w:val="0082475B"/>
    <w:rPr>
      <w:sz w:val="18"/>
      <w:szCs w:val="18"/>
    </w:rPr>
  </w:style>
  <w:style w:type="paragraph" w:customStyle="1" w:styleId="MarginEdition">
    <w:name w:val="Margin Edition"/>
    <w:basedOn w:val="MarginNote"/>
    <w:rsid w:val="0082475B"/>
    <w:pPr>
      <w:spacing w:before="0" w:after="0"/>
    </w:pPr>
    <w:rPr>
      <w:rFonts w:ascii="Times New Roman" w:hAnsi="Times New Roman"/>
      <w:color w:val="999999"/>
    </w:rPr>
  </w:style>
  <w:style w:type="paragraph" w:customStyle="1" w:styleId="Spacer">
    <w:name w:val="Spacer"/>
    <w:basedOn w:val="Normal"/>
    <w:rsid w:val="0082475B"/>
    <w:rPr>
      <w:sz w:val="2"/>
      <w:szCs w:val="2"/>
    </w:rPr>
  </w:style>
  <w:style w:type="character" w:customStyle="1" w:styleId="Small">
    <w:name w:val="Small"/>
    <w:basedOn w:val="DefaultParagraphFont"/>
    <w:rsid w:val="0082475B"/>
    <w:rPr>
      <w:sz w:val="16"/>
    </w:rPr>
  </w:style>
  <w:style w:type="paragraph" w:customStyle="1" w:styleId="WideTable">
    <w:name w:val="Wide Table"/>
    <w:basedOn w:val="Normal"/>
    <w:rsid w:val="0082475B"/>
    <w:pPr>
      <w:ind w:left="-1418"/>
    </w:pPr>
    <w:rPr>
      <w:sz w:val="2"/>
      <w:szCs w:val="2"/>
    </w:rPr>
  </w:style>
  <w:style w:type="character" w:styleId="PageNumber">
    <w:name w:val="page number"/>
    <w:basedOn w:val="DefaultParagraphFont"/>
    <w:rsid w:val="0082475B"/>
  </w:style>
  <w:style w:type="paragraph" w:styleId="Quote">
    <w:name w:val="Quote"/>
    <w:basedOn w:val="Heading1"/>
    <w:link w:val="QuoteChar"/>
    <w:qFormat/>
    <w:rsid w:val="0082475B"/>
    <w:rPr>
      <w:b w:val="0"/>
      <w:sz w:val="72"/>
      <w:szCs w:val="72"/>
      <w:lang w:val="en-NZ"/>
    </w:rPr>
  </w:style>
  <w:style w:type="character" w:customStyle="1" w:styleId="QuoteChar">
    <w:name w:val="Quote Char"/>
    <w:basedOn w:val="DefaultParagraphFont"/>
    <w:link w:val="Quote"/>
    <w:rsid w:val="00824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75B"/>
    <w:pPr>
      <w:pageBreakBefore/>
    </w:pPr>
  </w:style>
  <w:style w:type="paragraph" w:customStyle="1" w:styleId="Border">
    <w:name w:val="Border"/>
    <w:basedOn w:val="Normal"/>
    <w:qFormat/>
    <w:rsid w:val="008247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75B"/>
    <w:rPr>
      <w:b/>
      <w:bCs/>
      <w:i/>
      <w:iCs/>
      <w:color w:val="auto"/>
    </w:rPr>
  </w:style>
  <w:style w:type="paragraph" w:styleId="IntenseQuote">
    <w:name w:val="Intense Quote"/>
    <w:basedOn w:val="Normal"/>
    <w:next w:val="Normal"/>
    <w:link w:val="IntenseQuoteChar"/>
    <w:uiPriority w:val="30"/>
    <w:qFormat/>
    <w:rsid w:val="008247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7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75B"/>
    <w:rPr>
      <w:smallCaps/>
      <w:color w:val="auto"/>
      <w:u w:val="single"/>
    </w:rPr>
  </w:style>
  <w:style w:type="character" w:styleId="IntenseReference">
    <w:name w:val="Intense Reference"/>
    <w:basedOn w:val="DefaultParagraphFont"/>
    <w:uiPriority w:val="32"/>
    <w:qFormat/>
    <w:rsid w:val="0082475B"/>
    <w:rPr>
      <w:b/>
      <w:bCs/>
      <w:smallCaps/>
      <w:color w:val="auto"/>
      <w:spacing w:val="5"/>
      <w:u w:val="single"/>
    </w:rPr>
  </w:style>
  <w:style w:type="paragraph" w:customStyle="1" w:styleId="2ColumnHeading">
    <w:name w:val="2Column Heading"/>
    <w:basedOn w:val="BodyText"/>
    <w:qFormat/>
    <w:rsid w:val="0082475B"/>
    <w:pPr>
      <w:spacing w:after="60"/>
      <w:ind w:left="-2268"/>
    </w:pPr>
    <w:rPr>
      <w:b/>
    </w:rPr>
  </w:style>
  <w:style w:type="paragraph" w:customStyle="1" w:styleId="Heading1TOC">
    <w:name w:val="Heading1 TOC"/>
    <w:basedOn w:val="Normal"/>
    <w:qFormat/>
    <w:rsid w:val="0082475B"/>
    <w:pPr>
      <w:spacing w:before="240" w:after="120"/>
    </w:pPr>
    <w:rPr>
      <w:rFonts w:ascii="Times New Roman" w:hAnsi="Times New Roman"/>
      <w:b/>
      <w:sz w:val="32"/>
    </w:rPr>
  </w:style>
  <w:style w:type="paragraph" w:customStyle="1" w:styleId="Heading2TOC">
    <w:name w:val="Heading2 TOC"/>
    <w:basedOn w:val="Normal"/>
    <w:qFormat/>
    <w:rsid w:val="0082475B"/>
    <w:pPr>
      <w:spacing w:before="240" w:after="60"/>
    </w:pPr>
    <w:rPr>
      <w:rFonts w:ascii="Times New Roman" w:hAnsi="Times New Roman"/>
      <w:b/>
      <w:sz w:val="28"/>
    </w:rPr>
  </w:style>
  <w:style w:type="character" w:customStyle="1" w:styleId="Underline">
    <w:name w:val="Underline"/>
    <w:basedOn w:val="DefaultParagraphFont"/>
    <w:qFormat/>
    <w:rsid w:val="0082475B"/>
    <w:rPr>
      <w:u w:val="single"/>
    </w:rPr>
  </w:style>
  <w:style w:type="character" w:customStyle="1" w:styleId="BoldandItalics">
    <w:name w:val="Bold and Italics"/>
    <w:qFormat/>
    <w:rsid w:val="0082475B"/>
    <w:rPr>
      <w:b/>
      <w:i/>
      <w:u w:val="none"/>
    </w:rPr>
  </w:style>
  <w:style w:type="paragraph" w:styleId="BalloonText">
    <w:name w:val="Balloon Text"/>
    <w:basedOn w:val="Normal"/>
    <w:link w:val="BalloonTextChar"/>
    <w:rsid w:val="0082475B"/>
    <w:rPr>
      <w:rFonts w:ascii="Tahoma" w:hAnsi="Tahoma" w:cs="Tahoma"/>
      <w:sz w:val="16"/>
      <w:szCs w:val="16"/>
    </w:rPr>
  </w:style>
  <w:style w:type="character" w:customStyle="1" w:styleId="BalloonTextChar">
    <w:name w:val="Balloon Text Char"/>
    <w:basedOn w:val="DefaultParagraphFont"/>
    <w:link w:val="BalloonText"/>
    <w:rsid w:val="008247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7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7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75B"/>
    <w:rPr>
      <w:b/>
      <w:color w:val="660033"/>
      <w:spacing w:val="0"/>
    </w:rPr>
  </w:style>
  <w:style w:type="paragraph" w:customStyle="1" w:styleId="Nameditemlist">
    <w:name w:val="Named item list"/>
    <w:basedOn w:val="BodyText"/>
    <w:qFormat/>
    <w:rsid w:val="0082475B"/>
    <w:pPr>
      <w:tabs>
        <w:tab w:val="left" w:pos="2835"/>
      </w:tabs>
      <w:ind w:left="2835" w:hanging="2835"/>
    </w:pPr>
  </w:style>
  <w:style w:type="paragraph" w:customStyle="1" w:styleId="BodyTextnopadding">
    <w:name w:val="Body Text no padding"/>
    <w:basedOn w:val="BodyText"/>
    <w:qFormat/>
    <w:rsid w:val="0082475B"/>
    <w:pPr>
      <w:spacing w:before="0" w:after="0"/>
    </w:pPr>
  </w:style>
  <w:style w:type="paragraph" w:customStyle="1" w:styleId="BodyTextBold">
    <w:name w:val="Body Text Bold"/>
    <w:basedOn w:val="BodyText"/>
    <w:qFormat/>
    <w:rsid w:val="0082475B"/>
    <w:rPr>
      <w:b/>
    </w:rPr>
  </w:style>
  <w:style w:type="character" w:styleId="Hyperlink">
    <w:name w:val="Hyperlink"/>
    <w:basedOn w:val="DefaultParagraphFont"/>
    <w:uiPriority w:val="99"/>
    <w:unhideWhenUsed/>
    <w:rsid w:val="00971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7484</Characters>
  <Application>Microsoft Office Word</Application>
  <DocSecurity>0</DocSecurity>
  <Lines>249</Lines>
  <Paragraphs>123</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BSBWHS609 Advise on the application of safe design principles to control WHS risks</dc:title>
  <dc:subject>Approved</dc:subject>
  <dc:creator>PwC’s Skills for Australia</dc:creator>
  <cp:keywords>Release: 1</cp:keywords>
  <dc:description>Review Date: 12 April 2008</dc:description>
  <cp:lastModifiedBy>HSD_TPCMSd.prod</cp:lastModifiedBy>
  <cp:revision>3</cp:revision>
  <dcterms:created xsi:type="dcterms:W3CDTF">2020-09-23T09:46:00Z</dcterms:created>
  <dcterms:modified xsi:type="dcterms:W3CDTF">2020-09-23T09:46:00Z</dcterms:modified>
</cp:coreProperties>
</file>