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D9A" w:rsidP="00A73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BSBWHS522 Manage WHS consultation and participation processes</w:t>
      </w:r>
      <w:r>
        <w:fldChar w:fldCharType="end"/>
      </w:r>
    </w:p>
    <w:p w:rsidR="00A73D9A" w:rsidP="00A73D9A">
      <w:pPr>
        <w:pStyle w:val="Version"/>
        <w:sectPr w:rsidSect="00D76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210" w:rsidP="00D76210">
      <w:pPr>
        <w:pStyle w:val="SuperHeading"/>
      </w:pPr>
      <w:r w:rsidRPr="00D76210">
        <w:t>Assessment Requirements for BSBWHS522 Manage WHS consultation and participation processes</w:t>
      </w:r>
    </w:p>
    <w:p w:rsidR="00000000" w:rsidRPr="00D76210" w:rsidP="00D76210">
      <w:pPr>
        <w:pStyle w:val="Heading1"/>
      </w:pPr>
      <w:bookmarkStart w:id="1" w:name="O_1056091"/>
      <w:bookmarkEnd w:id="1"/>
      <w:r w:rsidRPr="00D762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D76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210" w:rsidP="00D76210">
            <w:pPr>
              <w:pStyle w:val="BodyText"/>
            </w:pPr>
            <w:r w:rsidRPr="00D762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210">
            <w:pPr>
              <w:pStyle w:val="BodyText"/>
              <w:rPr>
                <w:lang w:val="en-NZ"/>
              </w:rPr>
            </w:pPr>
            <w:r w:rsidRPr="00D76210">
              <w:rPr>
                <w:rStyle w:val="SpecialBold"/>
              </w:rPr>
              <w:t>Comments</w:t>
            </w:r>
          </w:p>
        </w:tc>
      </w:tr>
      <w:tr w:rsidTr="00D76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210">
            <w:pPr>
              <w:pStyle w:val="BodyText"/>
              <w:rPr>
                <w:lang w:val="en-NZ"/>
              </w:rPr>
            </w:pPr>
            <w:r w:rsidRPr="00D762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210" w:rsidP="00D76210">
            <w:pPr>
              <w:pStyle w:val="BodyText"/>
            </w:pPr>
            <w:r w:rsidRPr="00D76210">
              <w:t>This version first released with BSB Business Services Training Package Version 5.0.</w:t>
            </w:r>
          </w:p>
        </w:tc>
      </w:tr>
    </w:tbl>
    <w:p w:rsidR="00000000" w:rsidRPr="00D76210" w:rsidP="00D76210">
      <w:pPr>
        <w:pStyle w:val="BodyText"/>
      </w:pPr>
    </w:p>
    <w:p w:rsidR="00000000" w:rsidRPr="00D76210" w:rsidP="00D76210">
      <w:pPr>
        <w:pStyle w:val="AllowPageBreak"/>
      </w:pPr>
    </w:p>
    <w:p w:rsidR="00000000" w:rsidRPr="00D76210" w:rsidP="00D76210">
      <w:pPr>
        <w:pStyle w:val="Heading1"/>
      </w:pPr>
      <w:bookmarkStart w:id="2" w:name="O_1056094"/>
      <w:bookmarkEnd w:id="2"/>
      <w:r w:rsidRPr="00D76210">
        <w:t>Performance Evidence</w:t>
      </w:r>
    </w:p>
    <w:p w:rsidR="00000000" w:rsidRPr="00D76210" w:rsidP="00A73D9A">
      <w:pPr>
        <w:pStyle w:val="BodyText"/>
      </w:pPr>
      <w:r w:rsidRPr="00D76210">
        <w:t>The candidate must demonstrate the ability to complete the tasks outlined in the elements, performance criteria and foundation skills of this unit, and to:</w:t>
      </w:r>
    </w:p>
    <w:p w:rsidR="00000000" w:rsidRPr="00D76210" w:rsidP="00D76210">
      <w:pPr>
        <w:pStyle w:val="ListBullet"/>
      </w:pPr>
      <w:r w:rsidRPr="00D76210">
        <w:t>manage effective work health and safety (WHS) consultation and partic</w:t>
      </w:r>
      <w:r w:rsidRPr="00D76210">
        <w:t>ipation processes in consultation with others for at least one WHS consultation and participation issue, including:</w:t>
      </w:r>
    </w:p>
    <w:p w:rsidR="00000000" w:rsidRPr="00D76210" w:rsidP="00D76210">
      <w:pPr>
        <w:pStyle w:val="ListBullet2"/>
      </w:pPr>
      <w:r w:rsidRPr="00D76210">
        <w:t>developing an action plan with positive performance indicators</w:t>
      </w:r>
    </w:p>
    <w:p w:rsidR="00000000" w:rsidRPr="00D76210" w:rsidP="00D76210">
      <w:pPr>
        <w:pStyle w:val="ListBullet2"/>
      </w:pPr>
      <w:r w:rsidRPr="00D76210">
        <w:t xml:space="preserve">identifying gaps and areas for improving processes </w:t>
      </w:r>
    </w:p>
    <w:p w:rsidR="00000000" w:rsidRPr="00D76210" w:rsidP="00D76210">
      <w:pPr>
        <w:pStyle w:val="ListBullet2"/>
      </w:pPr>
      <w:r w:rsidRPr="00D76210">
        <w:t>implementing, monitoring and reviewing processes.</w:t>
      </w:r>
    </w:p>
    <w:p w:rsidR="00000000" w:rsidRPr="00D76210" w:rsidP="00D76210">
      <w:pPr>
        <w:pStyle w:val="BodyText"/>
      </w:pPr>
    </w:p>
    <w:p w:rsidR="00000000" w:rsidRPr="00D76210" w:rsidP="00A73D9A">
      <w:pPr>
        <w:pStyle w:val="BodyText"/>
      </w:pPr>
      <w:r w:rsidRPr="00D76210">
        <w:t>During the above, the candidate must:</w:t>
      </w:r>
    </w:p>
    <w:p w:rsidR="00000000" w:rsidRPr="00D76210" w:rsidP="00D76210">
      <w:pPr>
        <w:pStyle w:val="ListBullet"/>
      </w:pPr>
      <w:r w:rsidRPr="00D76210">
        <w:t xml:space="preserve">implement legal and organisational requirements </w:t>
      </w:r>
    </w:p>
    <w:p w:rsidR="00A73D9A" w:rsidP="00D76210">
      <w:pPr>
        <w:pStyle w:val="ListBullet"/>
      </w:pPr>
      <w:r w:rsidRPr="00D76210">
        <w:t>provide advice and support to others during implementation of process and recommend changes as required.</w:t>
      </w:r>
    </w:p>
    <w:p w:rsidR="00A73D9A" w:rsidP="00D76210">
      <w:pPr>
        <w:pStyle w:val="ListBullet"/>
      </w:pPr>
    </w:p>
    <w:p w:rsidR="00000000" w:rsidRPr="00D76210" w:rsidP="00D76210">
      <w:pPr>
        <w:pStyle w:val="Heading1"/>
      </w:pPr>
      <w:bookmarkStart w:id="3" w:name="O_1056093"/>
      <w:bookmarkEnd w:id="3"/>
      <w:r w:rsidRPr="00D76210">
        <w:t>Knowledge Evidence</w:t>
      </w:r>
    </w:p>
    <w:p w:rsidR="00000000" w:rsidRPr="00D76210" w:rsidP="00A73D9A">
      <w:pPr>
        <w:pStyle w:val="BodyText"/>
      </w:pPr>
      <w:r w:rsidRPr="00D76210">
        <w:t>The candidate must demonstrate the knowledge to complete the tasks outlined in the elements, performance criteria and foundation skills of this unit. This includes knowledge of:</w:t>
      </w:r>
    </w:p>
    <w:p w:rsidR="00000000" w:rsidRPr="00D76210" w:rsidP="00D76210">
      <w:pPr>
        <w:pStyle w:val="ListBullet"/>
      </w:pPr>
      <w:r w:rsidRPr="00D76210">
        <w:t>internal and external sources of WHS information a</w:t>
      </w:r>
      <w:r w:rsidRPr="00D76210">
        <w:t>nd data, and procedures for accessing them</w:t>
      </w:r>
    </w:p>
    <w:p w:rsidR="00000000" w:rsidRPr="00D76210" w:rsidP="00D76210">
      <w:pPr>
        <w:pStyle w:val="ListBullet"/>
      </w:pPr>
      <w:r w:rsidRPr="00D76210">
        <w:t>communication networks, processes and formats required for consultation and participation processes</w:t>
      </w:r>
    </w:p>
    <w:p w:rsidR="00000000" w:rsidRPr="00D76210" w:rsidP="00D76210">
      <w:pPr>
        <w:pStyle w:val="ListBullet"/>
      </w:pPr>
      <w:r w:rsidRPr="00D76210">
        <w:t>commonwealth and state/territory WHS laws and guidance material, in particular the parts relating to:</w:t>
      </w:r>
    </w:p>
    <w:p w:rsidR="00000000" w:rsidRPr="00D76210" w:rsidP="00D76210">
      <w:pPr>
        <w:pStyle w:val="ListBullet2"/>
      </w:pPr>
      <w:r w:rsidRPr="00D76210">
        <w:t xml:space="preserve">duties of </w:t>
      </w:r>
      <w:r w:rsidRPr="00D76210">
        <w:t>persons conducting a business or undertaking (PCBUs), officers, workers and inspectors</w:t>
      </w:r>
    </w:p>
    <w:p w:rsidR="00000000" w:rsidRPr="00D76210" w:rsidP="00D76210">
      <w:pPr>
        <w:pStyle w:val="ListBullet2"/>
      </w:pPr>
      <w:r w:rsidRPr="00D76210">
        <w:t>duty holders</w:t>
      </w:r>
    </w:p>
    <w:p w:rsidR="00000000" w:rsidRPr="00D76210" w:rsidP="00D76210">
      <w:pPr>
        <w:pStyle w:val="ListBullet2"/>
      </w:pPr>
      <w:r w:rsidRPr="00D76210">
        <w:t>consultation, participation and representation</w:t>
      </w:r>
    </w:p>
    <w:p w:rsidR="00000000" w:rsidRPr="00D76210" w:rsidP="00D76210">
      <w:pPr>
        <w:pStyle w:val="ListBullet2"/>
      </w:pPr>
      <w:r w:rsidRPr="00D76210">
        <w:t>discriminatory, coercive and misleading conduct</w:t>
      </w:r>
    </w:p>
    <w:p w:rsidR="00000000" w:rsidRPr="00D76210" w:rsidP="00D76210">
      <w:pPr>
        <w:pStyle w:val="ListBullet2"/>
      </w:pPr>
      <w:r w:rsidRPr="00D76210">
        <w:t>workplace entry by WHS permit holders</w:t>
      </w:r>
    </w:p>
    <w:p w:rsidR="00000000" w:rsidRPr="00D76210" w:rsidP="00D76210">
      <w:pPr>
        <w:pStyle w:val="ListBullet"/>
      </w:pPr>
      <w:r w:rsidRPr="00D76210">
        <w:t>formal and informal communication and consultation processes, and key personnel related to communication</w:t>
      </w:r>
    </w:p>
    <w:p w:rsidR="00000000" w:rsidRPr="00D76210" w:rsidP="00D76210">
      <w:pPr>
        <w:pStyle w:val="ListBullet"/>
      </w:pPr>
      <w:r w:rsidRPr="00D76210">
        <w:t>impact of characteristics and composition of the workforce on WHS risk and WHS management, including:</w:t>
      </w:r>
    </w:p>
    <w:p w:rsidR="00000000" w:rsidRPr="00D76210" w:rsidP="00D76210">
      <w:pPr>
        <w:pStyle w:val="ListBullet2"/>
      </w:pPr>
      <w:r w:rsidRPr="00D76210">
        <w:t>communication skills</w:t>
      </w:r>
    </w:p>
    <w:p w:rsidR="00000000" w:rsidRPr="00D76210" w:rsidP="00D76210">
      <w:pPr>
        <w:pStyle w:val="ListBullet2"/>
      </w:pPr>
      <w:r w:rsidRPr="00D76210">
        <w:t>cultural background and div</w:t>
      </w:r>
      <w:r w:rsidRPr="00D76210">
        <w:t>ersity</w:t>
      </w:r>
    </w:p>
    <w:p w:rsidR="00000000" w:rsidRPr="00D76210" w:rsidP="00D76210">
      <w:pPr>
        <w:pStyle w:val="ListBullet2"/>
      </w:pPr>
      <w:r w:rsidRPr="00D76210">
        <w:t>gender</w:t>
      </w:r>
    </w:p>
    <w:p w:rsidR="00000000" w:rsidRPr="00D76210" w:rsidP="00D76210">
      <w:pPr>
        <w:pStyle w:val="ListBullet2"/>
      </w:pPr>
      <w:r w:rsidRPr="00D76210">
        <w:t>principles of coordination and cooperation</w:t>
      </w:r>
    </w:p>
    <w:p w:rsidR="00000000" w:rsidRPr="00D76210" w:rsidP="00D76210">
      <w:pPr>
        <w:pStyle w:val="ListBullet2"/>
      </w:pPr>
      <w:r w:rsidRPr="00D76210">
        <w:t>labour market changes</w:t>
      </w:r>
    </w:p>
    <w:p w:rsidR="00000000" w:rsidRPr="00D76210" w:rsidP="00D76210">
      <w:pPr>
        <w:pStyle w:val="ListBullet2"/>
      </w:pPr>
      <w:r w:rsidRPr="00D76210">
        <w:t>levels of language, literacy and numeracy skills in the workforce</w:t>
      </w:r>
    </w:p>
    <w:p w:rsidR="00000000" w:rsidRPr="00D76210" w:rsidP="00D76210">
      <w:pPr>
        <w:pStyle w:val="ListBullet2"/>
      </w:pPr>
      <w:r w:rsidRPr="00D76210">
        <w:t>structure and organisation of the workforce, including part-time, casual and contract workers, shift rosters an</w:t>
      </w:r>
      <w:r w:rsidRPr="00D76210">
        <w:t>d geographical location</w:t>
      </w:r>
    </w:p>
    <w:p w:rsidR="00000000" w:rsidRPr="00D76210" w:rsidP="00D76210">
      <w:pPr>
        <w:pStyle w:val="ListBullet2"/>
      </w:pPr>
      <w:r w:rsidRPr="00D76210">
        <w:t>workers with specific needs and limitations</w:t>
      </w:r>
    </w:p>
    <w:p w:rsidR="00000000" w:rsidRPr="00D76210" w:rsidP="00D76210">
      <w:pPr>
        <w:pStyle w:val="ListBullet"/>
      </w:pPr>
      <w:r w:rsidRPr="00D76210">
        <w:t>key roles and responsibilities of personnel, including agents of change in workplace management structure</w:t>
      </w:r>
    </w:p>
    <w:p w:rsidR="00000000" w:rsidRPr="00D76210" w:rsidP="00D76210">
      <w:pPr>
        <w:pStyle w:val="ListBullet"/>
      </w:pPr>
      <w:r w:rsidRPr="00D76210">
        <w:t>key features of organisational culture as it impacts on work team and consultation and participation processes</w:t>
      </w:r>
    </w:p>
    <w:p w:rsidR="00000000" w:rsidRPr="00D76210" w:rsidP="00D76210">
      <w:pPr>
        <w:pStyle w:val="ListBullet"/>
      </w:pPr>
      <w:r w:rsidRPr="00D76210">
        <w:t>relevant organisational WHS policies, procedures, processes and systems</w:t>
      </w:r>
    </w:p>
    <w:p w:rsidR="00000000" w:rsidRPr="00D76210" w:rsidP="00D76210">
      <w:pPr>
        <w:pStyle w:val="ListBullet"/>
      </w:pPr>
      <w:r w:rsidRPr="00D76210">
        <w:t xml:space="preserve">key features of the WHSMS and action plans as they apply to consultation </w:t>
      </w:r>
      <w:r w:rsidRPr="00D76210">
        <w:t>and participation processes</w:t>
      </w:r>
    </w:p>
    <w:p w:rsidR="00000000" w:rsidRPr="00D76210" w:rsidP="00D76210">
      <w:pPr>
        <w:pStyle w:val="ListBullet"/>
      </w:pPr>
      <w:r w:rsidRPr="00D76210">
        <w:t>key design principles for planning and implementing consultation and participation processes</w:t>
      </w:r>
    </w:p>
    <w:p w:rsidR="00000000" w:rsidRPr="00D76210" w:rsidP="00D76210">
      <w:pPr>
        <w:pStyle w:val="ListBullet"/>
      </w:pPr>
      <w:r w:rsidRPr="00D76210">
        <w:t>key techniques for supporting and promoting consultation and participation processes</w:t>
      </w:r>
    </w:p>
    <w:p w:rsidR="00A73D9A" w:rsidP="00D76210">
      <w:pPr>
        <w:pStyle w:val="ListBullet"/>
      </w:pPr>
      <w:r w:rsidRPr="00D76210">
        <w:t xml:space="preserve">key tools and techniques for evaluating plans and </w:t>
      </w:r>
      <w:r w:rsidRPr="00D76210">
        <w:t>processes for consultation and participation.</w:t>
      </w:r>
    </w:p>
    <w:p w:rsidR="00A73D9A" w:rsidP="00D76210">
      <w:pPr>
        <w:pStyle w:val="ListBullet"/>
      </w:pPr>
    </w:p>
    <w:p w:rsidR="00000000" w:rsidRPr="00D76210" w:rsidP="00D76210">
      <w:pPr>
        <w:pStyle w:val="Heading1"/>
      </w:pPr>
      <w:bookmarkStart w:id="4" w:name="O_1056092"/>
      <w:bookmarkEnd w:id="4"/>
      <w:r w:rsidRPr="00D76210">
        <w:t>Assessment Conditions</w:t>
      </w:r>
    </w:p>
    <w:p w:rsidR="00000000" w:rsidRPr="00D76210" w:rsidP="00A73D9A">
      <w:pPr>
        <w:pStyle w:val="BodyText"/>
      </w:pPr>
      <w:r w:rsidRPr="00D76210">
        <w:t>Assessment must comply with WHS laws, legal responsibilities and duty of care required for this unit. It must be conducted in a safe environment where evidence gathered</w:t>
      </w:r>
      <w:r w:rsidRPr="00D76210">
        <w:t xml:space="preserve"> demonstrates consistent performance of typical activities undertaken by individuals carrying out WHS duties in the workplace, and must include access to:</w:t>
      </w:r>
    </w:p>
    <w:p w:rsidR="00000000" w:rsidRPr="00D76210" w:rsidP="00D76210">
      <w:pPr>
        <w:pStyle w:val="ListBullet"/>
      </w:pPr>
      <w:r w:rsidRPr="00D76210">
        <w:t>reports from other parties consulted about design, implementation, management and review processes</w:t>
      </w:r>
    </w:p>
    <w:p w:rsidR="00000000" w:rsidRPr="00D76210" w:rsidP="00D76210">
      <w:pPr>
        <w:pStyle w:val="ListBullet"/>
      </w:pPr>
      <w:r w:rsidRPr="00D76210">
        <w:t>W</w:t>
      </w:r>
      <w:r w:rsidRPr="00D76210">
        <w:t>HS laws, and organisational policies and procedures required to demonstrate the performance evidence</w:t>
      </w:r>
    </w:p>
    <w:p w:rsidR="00000000" w:rsidRPr="00D76210" w:rsidP="00D76210">
      <w:pPr>
        <w:pStyle w:val="ListBullet"/>
      </w:pPr>
      <w:r w:rsidRPr="00D76210">
        <w:t>case studies and, where possible, real situations</w:t>
      </w:r>
    </w:p>
    <w:p w:rsidR="00000000" w:rsidRPr="00D76210" w:rsidP="00D76210">
      <w:pPr>
        <w:pStyle w:val="ListBullet"/>
      </w:pPr>
      <w:r w:rsidRPr="00D76210">
        <w:t>opportunities for interaction with others.</w:t>
      </w:r>
    </w:p>
    <w:p w:rsidR="00000000" w:rsidRPr="00D76210" w:rsidP="00D76210">
      <w:pPr>
        <w:pStyle w:val="BodyText"/>
      </w:pPr>
    </w:p>
    <w:p w:rsidR="00000000" w:rsidRPr="00D76210" w:rsidP="00A73D9A">
      <w:pPr>
        <w:pStyle w:val="BodyText"/>
      </w:pPr>
      <w:r w:rsidRPr="00D76210">
        <w:t>Assessors of this unit must satisfy the assessor requirements</w:t>
      </w:r>
      <w:r w:rsidRPr="00D76210">
        <w:t xml:space="preserve"> in applicable vocational education and training legislation, frameworks and/or standards.</w:t>
      </w:r>
    </w:p>
    <w:p w:rsidR="00000000" w:rsidRPr="00D76210" w:rsidP="00D76210">
      <w:pPr>
        <w:pStyle w:val="Heading1"/>
      </w:pPr>
      <w:bookmarkStart w:id="5" w:name="O_1056090"/>
      <w:bookmarkEnd w:id="5"/>
      <w:r w:rsidRPr="00D76210">
        <w:t>Links</w:t>
      </w:r>
    </w:p>
    <w:p w:rsidR="00000000" w:rsidRPr="00D76210" w:rsidP="00A73D9A">
      <w:pPr>
        <w:pStyle w:val="BodyText"/>
      </w:pPr>
      <w:r w:rsidRPr="00D7621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77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76210" w:rsidP="00D76210"/>
    <w:sectPr w:rsidSect="00D76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10" w:rsidRPr="00A73D9A" w:rsidP="00A73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9A" w:rsidP="00D76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D9A" w:rsidP="00D76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3D9A" w:rsidP="00D76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210" w:rsidRPr="00A73D9A" w:rsidP="00A73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9A" w:rsidRPr="002D2AF8" w:rsidP="00D76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BSBWHS522 Manage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73D9A" w:rsidP="00D76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AA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804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E8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210"/>
  </w:style>
  <w:style w:type="character" w:customStyle="1" w:styleId="Heading1Char">
    <w:name w:val="Heading 1 Char"/>
    <w:basedOn w:val="DefaultParagraphFont"/>
    <w:link w:val="Heading1"/>
    <w:rsid w:val="00D76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2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210"/>
    <w:rPr>
      <w:b/>
      <w:spacing w:val="0"/>
    </w:rPr>
  </w:style>
  <w:style w:type="paragraph" w:styleId="ListBullet2">
    <w:name w:val="List Bullet 2"/>
    <w:basedOn w:val="List2"/>
    <w:rsid w:val="00D762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6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210"/>
    <w:rPr>
      <w:i/>
    </w:rPr>
  </w:style>
  <w:style w:type="paragraph" w:styleId="Caption">
    <w:name w:val="caption"/>
    <w:basedOn w:val="BodyText"/>
    <w:next w:val="Normal"/>
    <w:qFormat/>
    <w:rsid w:val="00D76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210"/>
  </w:style>
  <w:style w:type="paragraph" w:styleId="TableofFigures">
    <w:name w:val="table of figures"/>
    <w:basedOn w:val="Normal"/>
    <w:next w:val="Normal"/>
    <w:semiHidden/>
    <w:rsid w:val="00D76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2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210"/>
    <w:rPr>
      <w:rFonts w:ascii="Wingdings" w:hAnsi="Wingdings"/>
    </w:rPr>
  </w:style>
  <w:style w:type="paragraph" w:customStyle="1" w:styleId="TableHeading">
    <w:name w:val="Table Heading"/>
    <w:basedOn w:val="HeadingBase"/>
    <w:rsid w:val="00D76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210"/>
    <w:rPr>
      <w:color w:val="0033CC"/>
      <w:u w:val="none"/>
    </w:rPr>
  </w:style>
  <w:style w:type="paragraph" w:customStyle="1" w:styleId="BodyTextRight">
    <w:name w:val="Body Text Right"/>
    <w:basedOn w:val="BodyText"/>
    <w:rsid w:val="00D76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210"/>
    <w:rPr>
      <w:sz w:val="32"/>
    </w:rPr>
  </w:style>
  <w:style w:type="paragraph" w:customStyle="1" w:styleId="HeadingProcedure">
    <w:name w:val="Heading Procedure"/>
    <w:basedOn w:val="HeadingBase"/>
    <w:next w:val="Normal"/>
    <w:rsid w:val="00D76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210"/>
    <w:pPr>
      <w:spacing w:before="60" w:after="60"/>
    </w:pPr>
  </w:style>
  <w:style w:type="paragraph" w:styleId="ListContinue">
    <w:name w:val="List Continue"/>
    <w:basedOn w:val="List"/>
    <w:rsid w:val="00D76210"/>
    <w:pPr>
      <w:ind w:firstLine="0"/>
    </w:pPr>
  </w:style>
  <w:style w:type="paragraph" w:customStyle="1" w:styleId="ListNote">
    <w:name w:val="List Note"/>
    <w:basedOn w:val="List"/>
    <w:rsid w:val="00D76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210"/>
    <w:rPr>
      <w:rFonts w:ascii="Courier New" w:hAnsi="Courier New"/>
    </w:rPr>
  </w:style>
  <w:style w:type="paragraph" w:customStyle="1" w:styleId="NoteBullet">
    <w:name w:val="Note Bullet"/>
    <w:basedOn w:val="Note"/>
    <w:rsid w:val="00D76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2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210"/>
    <w:rPr>
      <w:b/>
      <w:smallCaps/>
    </w:rPr>
  </w:style>
  <w:style w:type="paragraph" w:customStyle="1" w:styleId="TableListNumber">
    <w:name w:val="Table List Number"/>
    <w:basedOn w:val="ListNumber"/>
    <w:rsid w:val="00D76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210"/>
    <w:pPr>
      <w:numPr>
        <w:numId w:val="9"/>
      </w:numPr>
    </w:pPr>
  </w:style>
  <w:style w:type="paragraph" w:customStyle="1" w:styleId="ListAlpha2">
    <w:name w:val="List Alpha 2"/>
    <w:basedOn w:val="List2"/>
    <w:rsid w:val="00D76210"/>
    <w:pPr>
      <w:numPr>
        <w:numId w:val="8"/>
      </w:numPr>
    </w:pPr>
  </w:style>
  <w:style w:type="paragraph" w:styleId="List2">
    <w:name w:val="List 2"/>
    <w:basedOn w:val="BodyText"/>
    <w:rsid w:val="00D76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2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2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210"/>
    <w:pPr>
      <w:numPr>
        <w:numId w:val="4"/>
      </w:numPr>
    </w:pPr>
  </w:style>
  <w:style w:type="paragraph" w:styleId="ListContinue2">
    <w:name w:val="List Continue 2"/>
    <w:basedOn w:val="List2"/>
    <w:rsid w:val="00D76210"/>
    <w:pPr>
      <w:ind w:firstLine="0"/>
    </w:pPr>
  </w:style>
  <w:style w:type="paragraph" w:styleId="ListContinue3">
    <w:name w:val="List Continue 3"/>
    <w:basedOn w:val="List3"/>
    <w:rsid w:val="00D76210"/>
    <w:pPr>
      <w:ind w:left="1021" w:firstLine="0"/>
    </w:pPr>
  </w:style>
  <w:style w:type="paragraph" w:styleId="ListContinue4">
    <w:name w:val="List Continue 4"/>
    <w:basedOn w:val="List4"/>
    <w:rsid w:val="00D76210"/>
    <w:pPr>
      <w:ind w:firstLine="0"/>
    </w:pPr>
  </w:style>
  <w:style w:type="paragraph" w:styleId="ListContinue5">
    <w:name w:val="List Continue 5"/>
    <w:basedOn w:val="List5"/>
    <w:rsid w:val="00D76210"/>
    <w:pPr>
      <w:ind w:firstLine="0"/>
    </w:pPr>
  </w:style>
  <w:style w:type="paragraph" w:styleId="ListNumber3">
    <w:name w:val="List Number 3"/>
    <w:basedOn w:val="List3"/>
    <w:rsid w:val="00D76210"/>
    <w:pPr>
      <w:numPr>
        <w:numId w:val="5"/>
      </w:numPr>
    </w:pPr>
  </w:style>
  <w:style w:type="paragraph" w:styleId="ListNumber4">
    <w:name w:val="List Number 4"/>
    <w:basedOn w:val="List4"/>
    <w:rsid w:val="00D76210"/>
    <w:pPr>
      <w:numPr>
        <w:numId w:val="6"/>
      </w:numPr>
    </w:pPr>
  </w:style>
  <w:style w:type="paragraph" w:styleId="ListNumber5">
    <w:name w:val="List Number 5"/>
    <w:basedOn w:val="List5"/>
    <w:rsid w:val="00D76210"/>
    <w:pPr>
      <w:numPr>
        <w:numId w:val="7"/>
      </w:numPr>
    </w:pPr>
  </w:style>
  <w:style w:type="paragraph" w:styleId="BlockText">
    <w:name w:val="Block Text"/>
    <w:basedOn w:val="Normal"/>
    <w:rsid w:val="00D76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210"/>
    <w:rPr>
      <w:sz w:val="16"/>
      <w:vertAlign w:val="superscript"/>
    </w:rPr>
  </w:style>
  <w:style w:type="character" w:customStyle="1" w:styleId="Symbols">
    <w:name w:val="Symbols"/>
    <w:basedOn w:val="DefaultParagraphFont"/>
    <w:rsid w:val="00D76210"/>
    <w:rPr>
      <w:rFonts w:ascii="Symbol" w:hAnsi="Symbol"/>
    </w:rPr>
  </w:style>
  <w:style w:type="character" w:customStyle="1" w:styleId="MenuOptions">
    <w:name w:val="Menu Options"/>
    <w:basedOn w:val="DefaultParagraphFont"/>
    <w:rsid w:val="00D76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210"/>
    <w:rPr>
      <w:b/>
    </w:rPr>
  </w:style>
  <w:style w:type="character" w:customStyle="1" w:styleId="Underlined">
    <w:name w:val="Underlined"/>
    <w:basedOn w:val="DefaultParagraphFont"/>
    <w:rsid w:val="00D76210"/>
    <w:rPr>
      <w:u w:val="single"/>
    </w:rPr>
  </w:style>
  <w:style w:type="paragraph" w:customStyle="1" w:styleId="TableBodyTextRight">
    <w:name w:val="Table Body Text Right"/>
    <w:basedOn w:val="TableBodyText"/>
    <w:rsid w:val="00D76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210"/>
    <w:rPr>
      <w:sz w:val="18"/>
    </w:rPr>
  </w:style>
  <w:style w:type="paragraph" w:customStyle="1" w:styleId="BodySmallRight">
    <w:name w:val="Body Small Right"/>
    <w:basedOn w:val="BodyTextRight"/>
    <w:rsid w:val="00D76210"/>
    <w:rPr>
      <w:sz w:val="18"/>
      <w:szCs w:val="18"/>
    </w:rPr>
  </w:style>
  <w:style w:type="paragraph" w:customStyle="1" w:styleId="MarginEdition">
    <w:name w:val="Margin Edition"/>
    <w:basedOn w:val="MarginNote"/>
    <w:rsid w:val="00D76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210"/>
    <w:rPr>
      <w:sz w:val="2"/>
      <w:szCs w:val="2"/>
    </w:rPr>
  </w:style>
  <w:style w:type="character" w:customStyle="1" w:styleId="Small">
    <w:name w:val="Small"/>
    <w:basedOn w:val="DefaultParagraphFont"/>
    <w:rsid w:val="00D76210"/>
    <w:rPr>
      <w:sz w:val="16"/>
    </w:rPr>
  </w:style>
  <w:style w:type="paragraph" w:customStyle="1" w:styleId="WideTable">
    <w:name w:val="Wide Table"/>
    <w:basedOn w:val="Normal"/>
    <w:rsid w:val="00D76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210"/>
  </w:style>
  <w:style w:type="paragraph" w:styleId="Quote">
    <w:name w:val="Quote"/>
    <w:basedOn w:val="Heading1"/>
    <w:link w:val="QuoteChar"/>
    <w:qFormat/>
    <w:rsid w:val="00D76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210"/>
    <w:pPr>
      <w:pageBreakBefore/>
    </w:pPr>
  </w:style>
  <w:style w:type="paragraph" w:customStyle="1" w:styleId="Border">
    <w:name w:val="Border"/>
    <w:basedOn w:val="Normal"/>
    <w:qFormat/>
    <w:rsid w:val="00D76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210"/>
    <w:rPr>
      <w:u w:val="single"/>
    </w:rPr>
  </w:style>
  <w:style w:type="character" w:customStyle="1" w:styleId="BoldandItalics">
    <w:name w:val="Bold and Italics"/>
    <w:qFormat/>
    <w:rsid w:val="00D76210"/>
    <w:rPr>
      <w:b/>
      <w:i/>
      <w:u w:val="none"/>
    </w:rPr>
  </w:style>
  <w:style w:type="paragraph" w:styleId="BalloonText">
    <w:name w:val="Balloon Text"/>
    <w:basedOn w:val="Normal"/>
    <w:link w:val="BalloonTextChar"/>
    <w:rsid w:val="00D76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210"/>
    <w:pPr>
      <w:spacing w:before="0" w:after="0"/>
    </w:pPr>
  </w:style>
  <w:style w:type="paragraph" w:customStyle="1" w:styleId="BodyTextBold">
    <w:name w:val="Body Text Bold"/>
    <w:basedOn w:val="BodyText"/>
    <w:qFormat/>
    <w:rsid w:val="00D76210"/>
    <w:rPr>
      <w:b/>
    </w:rPr>
  </w:style>
  <w:style w:type="character" w:styleId="Hyperlink">
    <w:name w:val="Hyperlink"/>
    <w:basedOn w:val="DefaultParagraphFont"/>
    <w:uiPriority w:val="99"/>
    <w:unhideWhenUsed/>
    <w:rsid w:val="00A73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3616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BSBWHS522 Manage WHS consultation and participation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