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E94" w:rsidP="007D6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BSBWHS512 Contribute to managing work-related psychological health and safety</w:t>
      </w:r>
      <w:r>
        <w:fldChar w:fldCharType="end"/>
      </w:r>
    </w:p>
    <w:p w:rsidR="007D6E94" w:rsidP="007D6E94">
      <w:pPr>
        <w:pStyle w:val="Version"/>
        <w:sectPr w:rsidSect="00BC4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15C" w:rsidP="00BC415C">
      <w:pPr>
        <w:pStyle w:val="SuperHeading"/>
      </w:pPr>
      <w:r w:rsidRPr="00BC415C">
        <w:t>BSBWHS512 Contribute to managing work-related psychological health and safety</w:t>
      </w:r>
    </w:p>
    <w:p w:rsidR="00000000" w:rsidRPr="00BC415C" w:rsidP="00BC415C">
      <w:pPr>
        <w:pStyle w:val="Heading1"/>
      </w:pPr>
      <w:bookmarkStart w:id="1" w:name="O_1054182"/>
      <w:bookmarkEnd w:id="1"/>
      <w:r w:rsidRPr="00BC4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BC4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rPr>
                <w:rStyle w:val="SpecialBold"/>
              </w:rPr>
              <w:t>Comments</w:t>
            </w:r>
          </w:p>
        </w:tc>
      </w:tr>
      <w:tr w:rsidTr="00BC4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t>This version first released with BSB Business Services Training Package Version 5.0.</w:t>
            </w:r>
          </w:p>
        </w:tc>
      </w:tr>
    </w:tbl>
    <w:p w:rsidR="00000000" w:rsidRPr="00BC415C" w:rsidP="00BC415C">
      <w:pPr>
        <w:pStyle w:val="BodyText"/>
      </w:pPr>
    </w:p>
    <w:p w:rsidR="00000000" w:rsidRPr="00BC415C" w:rsidP="00BC415C">
      <w:pPr>
        <w:pStyle w:val="AllowPageBreak"/>
      </w:pPr>
    </w:p>
    <w:p w:rsidR="00000000" w:rsidRPr="00BC415C" w:rsidP="00BC415C">
      <w:pPr>
        <w:pStyle w:val="Heading1"/>
      </w:pPr>
      <w:bookmarkStart w:id="2" w:name="O_1054187"/>
      <w:bookmarkEnd w:id="2"/>
      <w:r w:rsidRPr="00BC415C">
        <w:t>Application</w:t>
      </w:r>
    </w:p>
    <w:p w:rsidR="00000000" w:rsidRPr="00BC415C" w:rsidP="007D6E94">
      <w:pPr>
        <w:pStyle w:val="BodyText"/>
      </w:pPr>
      <w:r w:rsidRPr="00BC415C">
        <w:t>This unit describes the skills and knowledge required to contribute to managing work-related psychological health and safety. It requires the ability to identify psychosocial hazards, assess their risk, and implement control methods for psychos</w:t>
      </w:r>
      <w:r w:rsidRPr="00BC415C">
        <w:t>ocial hazards that apply in the workplace.</w:t>
      </w:r>
    </w:p>
    <w:p w:rsidR="00000000" w:rsidRPr="00BC415C" w:rsidP="007D6E94">
      <w:pPr>
        <w:pStyle w:val="BodyText"/>
      </w:pPr>
      <w:r w:rsidRPr="00BC415C">
        <w:t xml:space="preserve">The unit applies to those with work health and safety (WHS) supervisory responsibilities who work in a range of WHS roles across all industries, and apply a substantial knowledge base and well-developed skills in </w:t>
      </w:r>
      <w:r w:rsidRPr="00BC415C">
        <w:t>a wide variety of WHS contexts.</w:t>
      </w:r>
    </w:p>
    <w:p w:rsidR="00000000" w:rsidRPr="00BC415C" w:rsidP="00BC415C">
      <w:pPr>
        <w:pStyle w:val="BodyTextBold"/>
      </w:pPr>
      <w:r w:rsidRPr="00BC415C">
        <w:t>NOTES</w:t>
      </w:r>
    </w:p>
    <w:p w:rsidR="00000000" w:rsidRPr="00BC415C" w:rsidP="007D6E94">
      <w:pPr>
        <w:pStyle w:val="List"/>
      </w:pPr>
      <w:r w:rsidRPr="00BC415C">
        <w:t>1.</w:t>
      </w:r>
      <w:r>
        <w:tab/>
      </w:r>
      <w:r w:rsidRPr="00BC415C">
        <w:t xml:space="preserve">The terms ‘occupational health and safety’ (OHS) and ‘work health and safety’ (WHS) are equivalent, and generally either can be used in the workplace. In jurisdictions where </w:t>
      </w:r>
      <w:r w:rsidRPr="00BC415C">
        <w:rPr>
          <w:rStyle w:val="Emphasis"/>
        </w:rPr>
        <w:t>model WHS laws</w:t>
      </w:r>
      <w:r w:rsidRPr="00BC415C">
        <w:t xml:space="preserve"> have not been implemented,</w:t>
      </w:r>
      <w:r w:rsidRPr="00BC415C">
        <w:t xml:space="preserve"> registered training organisations (RTOs) are advised to contextualise this unit of competency by referring to existing WHS legislative requirements.</w:t>
      </w:r>
    </w:p>
    <w:p w:rsidR="00000000" w:rsidRPr="00BC415C" w:rsidP="007D6E94">
      <w:pPr>
        <w:pStyle w:val="List"/>
      </w:pPr>
      <w:r w:rsidRPr="00BC415C">
        <w:t>2.</w:t>
      </w:r>
      <w:r>
        <w:tab/>
      </w:r>
      <w:r w:rsidRPr="00BC415C">
        <w:t xml:space="preserve">The </w:t>
      </w:r>
      <w:r w:rsidRPr="00BC415C">
        <w:rPr>
          <w:rStyle w:val="Emphasis"/>
        </w:rPr>
        <w:t>model WHS laws</w:t>
      </w:r>
      <w:r w:rsidRPr="00BC415C">
        <w:t xml:space="preserve"> include the model WHS Act, model WHS Regulations and model WHS Codes of Practice. Se</w:t>
      </w:r>
      <w:r w:rsidRPr="00BC415C">
        <w:t>e Safe Work Australia (SWA) for further information.</w:t>
      </w:r>
    </w:p>
    <w:p w:rsidR="00000000" w:rsidRPr="00BC415C" w:rsidP="007D6E94">
      <w:pPr>
        <w:pStyle w:val="List"/>
      </w:pPr>
      <w:r w:rsidRPr="00BC415C">
        <w:t>3.</w:t>
      </w:r>
      <w:r>
        <w:tab/>
      </w:r>
      <w:r w:rsidRPr="00BC415C">
        <w:t>Safe Work Australia national guidance material refers to ‘psychosocial hazards or factors’ as ‘anything in the design or management of work that increases the risk of work-related stress’ and states t</w:t>
      </w:r>
      <w:r w:rsidRPr="00BC415C">
        <w:t xml:space="preserve">hat ‘work-related stress if prolonged and/or severe can cause both psychological and physical injury’. (SWA, </w:t>
      </w:r>
      <w:r w:rsidRPr="00BC415C">
        <w:rPr>
          <w:rStyle w:val="Emphasis"/>
        </w:rPr>
        <w:t>Work-related psychological health and safety: A systematic approach to meeting your duties</w:t>
      </w:r>
      <w:r w:rsidRPr="00BC415C">
        <w:t>)</w:t>
      </w:r>
    </w:p>
    <w:p w:rsidR="00000000" w:rsidRPr="00BC415C" w:rsidP="00BC415C">
      <w:pPr>
        <w:pStyle w:val="BodyText"/>
      </w:pPr>
    </w:p>
    <w:p w:rsidR="00000000" w:rsidRPr="00BC415C" w:rsidP="007D6E94">
      <w:pPr>
        <w:pStyle w:val="BodyText"/>
      </w:pPr>
      <w:r w:rsidRPr="00BC415C">
        <w:t>No licensing, legislative or certification requirement</w:t>
      </w:r>
      <w:r w:rsidRPr="00BC415C">
        <w:t>s apply to this unit at the time of publication.</w:t>
      </w:r>
    </w:p>
    <w:p w:rsidR="00000000" w:rsidRPr="00BC415C" w:rsidP="00BC415C">
      <w:pPr>
        <w:pStyle w:val="Heading1"/>
      </w:pPr>
      <w:bookmarkStart w:id="3" w:name="O_1054186"/>
      <w:bookmarkEnd w:id="3"/>
      <w:r w:rsidRPr="00BC415C">
        <w:t>Unit Sector</w:t>
      </w:r>
    </w:p>
    <w:p w:rsidR="00000000" w:rsidRPr="00BC415C" w:rsidP="007D6E94">
      <w:pPr>
        <w:pStyle w:val="BodyText"/>
      </w:pPr>
      <w:r w:rsidRPr="00BC415C">
        <w:t>Regulation, Licensing and Risk – Work Health and Safety</w:t>
      </w:r>
    </w:p>
    <w:p w:rsidR="00000000" w:rsidRPr="00BC415C" w:rsidP="00BC415C">
      <w:pPr>
        <w:pStyle w:val="Heading1"/>
      </w:pPr>
      <w:bookmarkStart w:id="4" w:name="O_1054185"/>
      <w:bookmarkEnd w:id="4"/>
      <w:r w:rsidRPr="00BC41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rPr>
                <w:rStyle w:val="SpecialBold"/>
              </w:rPr>
              <w:t>PERFORMANCE CRITERIA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 xml:space="preserve">1. Establish requirements for managing work-related psychological health and safety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t>1.1 Review and analyse legislati</w:t>
            </w:r>
            <w:r w:rsidRPr="00BC415C">
              <w:t>ve requirements applicable to psychological health and safety</w:t>
            </w:r>
          </w:p>
          <w:p w:rsidR="00000000" w:rsidRPr="00BC415C" w:rsidP="00BC415C">
            <w:pPr>
              <w:pStyle w:val="BodyText"/>
            </w:pPr>
            <w:r w:rsidRPr="00BC415C">
              <w:t xml:space="preserve">1.2 Determine workplace responsibilities relating to psychological health and safety </w:t>
            </w:r>
          </w:p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1.3 Determine roles and responsibilities of stakeholders in relation to managing psychological health and sa</w:t>
            </w:r>
            <w:r w:rsidRPr="00BC415C">
              <w:t xml:space="preserve">fety 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2. Record work-related psychosocial hazards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t>2.1 Identify work-related psychosocial hazards in own workplace, and factors contributing to them</w:t>
            </w:r>
          </w:p>
          <w:p w:rsidR="00000000" w:rsidRPr="00BC415C" w:rsidP="00BC415C">
            <w:pPr>
              <w:pStyle w:val="BodyText"/>
            </w:pPr>
            <w:r w:rsidRPr="00BC415C">
              <w:t>2.2 Access and store information, data and advice to assist with identifying work-related psychosocial hazards according to legislative requirements</w:t>
            </w:r>
          </w:p>
          <w:p w:rsidR="00000000" w:rsidRPr="00BC415C" w:rsidP="00BC415C">
            <w:pPr>
              <w:pStyle w:val="BodyText"/>
            </w:pPr>
            <w:r w:rsidRPr="00BC415C">
              <w:t>2.3 Consult with workers and other required stakeholders to confirm identified work-related psychosocial ha</w:t>
            </w:r>
            <w:r w:rsidRPr="00BC415C">
              <w:t>zards</w:t>
            </w:r>
          </w:p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2.4 Develop and maintain a register of identified work-related psychosocial hazards according to legislative requirements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3. Assess risk of identified work-related psychosocial hazards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t>3.1 Identify and consult with individuals and/or parties who sho</w:t>
            </w:r>
            <w:r w:rsidRPr="00BC415C">
              <w:t>uld participate in risk assessment of identified work-related psychosocial hazards</w:t>
            </w:r>
          </w:p>
          <w:p w:rsidR="00000000" w:rsidRPr="00BC415C" w:rsidP="00BC415C">
            <w:pPr>
              <w:pStyle w:val="BodyText"/>
            </w:pPr>
            <w:r w:rsidRPr="00BC415C">
              <w:t>3.2 Assess frequency and duration of exposure to identified work-related psychosocial hazards, and determine severity of risk</w:t>
            </w:r>
          </w:p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3.3 Record psychosocial risk assessment accordi</w:t>
            </w:r>
            <w:r w:rsidRPr="00BC415C">
              <w:t>ng to organisational policies and procedures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4. Contribute to implementing risk controls for risks associated with identified work-related psychosocial hazards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t>4.1 Contribute to determining required risk controls for identified work-related psychosocial h</w:t>
            </w:r>
            <w:r w:rsidRPr="00BC415C">
              <w:t>azards according to the hierarchy of control measures</w:t>
            </w:r>
          </w:p>
          <w:p w:rsidR="00000000" w:rsidRPr="00BC415C" w:rsidP="00BC415C">
            <w:pPr>
              <w:pStyle w:val="BodyText"/>
            </w:pPr>
            <w:r w:rsidRPr="00BC415C">
              <w:t>4.2 Contribute to selecting risk controls that address identified work-related psychosocial hazards and control risks</w:t>
            </w:r>
          </w:p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4.3 Communicate selected risk controls to required stakeholders according to organis</w:t>
            </w:r>
            <w:r w:rsidRPr="00BC415C">
              <w:t>ational policies and procedures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 xml:space="preserve">5. Review effectiveness of risk controls for managing work-related psychological health and </w:t>
            </w:r>
            <w:r w:rsidRPr="00BC415C">
              <w:t xml:space="preserve">safety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"/>
            </w:pPr>
            <w:r w:rsidRPr="00BC415C">
              <w:t>5.1 Establish strategy and timeframe for reviewing risk controls for identified work-related psychosocial hazards</w:t>
            </w:r>
          </w:p>
          <w:p w:rsidR="00000000" w:rsidRPr="00BC415C" w:rsidP="00BC415C">
            <w:pPr>
              <w:pStyle w:val="BodyText"/>
            </w:pPr>
            <w:r w:rsidRPr="00BC415C">
              <w:t>5.2 Consu</w:t>
            </w:r>
            <w:r w:rsidRPr="00BC415C">
              <w:t>lt with individuals and/or parties to review risk controls</w:t>
            </w:r>
          </w:p>
          <w:p w:rsidR="00000000" w:rsidRPr="00BC415C" w:rsidP="00BC415C">
            <w:pPr>
              <w:pStyle w:val="BodyText"/>
            </w:pPr>
            <w:r w:rsidRPr="00BC415C">
              <w:t xml:space="preserve">5.3 Evaluate effectiveness of risk controls and document areas for </w:t>
            </w:r>
            <w:r w:rsidRPr="00BC415C">
              <w:t>improvement</w:t>
            </w:r>
          </w:p>
        </w:tc>
      </w:tr>
    </w:tbl>
    <w:p w:rsidR="00000000" w:rsidRPr="00BC415C" w:rsidP="00BC415C">
      <w:pPr>
        <w:pStyle w:val="BodyText"/>
      </w:pPr>
    </w:p>
    <w:p w:rsidR="00000000" w:rsidRPr="00BC415C" w:rsidP="00BC415C">
      <w:pPr>
        <w:pStyle w:val="AllowPageBreak"/>
      </w:pPr>
    </w:p>
    <w:p w:rsidR="00000000" w:rsidRPr="00BC415C" w:rsidP="00BC415C">
      <w:pPr>
        <w:pStyle w:val="Heading1"/>
      </w:pPr>
      <w:bookmarkStart w:id="5" w:name="O_1054184"/>
      <w:bookmarkEnd w:id="5"/>
      <w:r w:rsidRPr="00BC415C">
        <w:t>Foundation Skills</w:t>
      </w:r>
    </w:p>
    <w:p w:rsidR="00000000" w:rsidRPr="007D6E94" w:rsidP="007D6E94">
      <w:pPr>
        <w:pStyle w:val="BodyText"/>
        <w:rPr>
          <w:i/>
        </w:rPr>
      </w:pPr>
      <w:r w:rsidRPr="007D6E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BodyTextBold"/>
            </w:pPr>
            <w:r w:rsidRPr="00BC41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Bold"/>
              <w:rPr>
                <w:lang w:val="en-NZ"/>
              </w:rPr>
            </w:pPr>
            <w:r w:rsidRPr="00BC415C">
              <w:rPr>
                <w:rStyle w:val="SpecialBold"/>
              </w:rPr>
              <w:t>Description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ListBullet"/>
            </w:pPr>
            <w:r w:rsidRPr="00BC415C">
              <w:t>Interprets and critically analyses texts when contributing to work-r</w:t>
            </w:r>
            <w:r w:rsidRPr="00BC415C">
              <w:t>elated psychological health and safety</w:t>
            </w:r>
          </w:p>
          <w:p w:rsidR="00000000" w:rsidP="00BC415C">
            <w:pPr>
              <w:pStyle w:val="ListBullet"/>
              <w:rPr>
                <w:lang w:val="en-NZ"/>
              </w:rPr>
            </w:pPr>
            <w:r w:rsidRPr="00BC415C">
              <w:t>Constructs meaning from texts to assist in promoting work-related psychological health and safety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ListBullet"/>
            </w:pPr>
            <w:r w:rsidRPr="00BC415C">
              <w:t>Develops risk registers, reports and associated documentation according to organisational requirements</w:t>
            </w:r>
          </w:p>
          <w:p w:rsidR="00000000" w:rsidP="00BC415C">
            <w:pPr>
              <w:pStyle w:val="ListBullet"/>
              <w:rPr>
                <w:lang w:val="en-NZ"/>
              </w:rPr>
            </w:pPr>
            <w:r w:rsidRPr="00BC415C">
              <w:t xml:space="preserve">Uses vocabulary, grammatical structure and conventions appropriate to text when developing risk registers, reports and other documentation 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ListBullet"/>
            </w:pPr>
            <w:r w:rsidRPr="00BC415C">
              <w:t>Asks questions and actively listens to gather information about potential risk situations</w:t>
            </w:r>
          </w:p>
          <w:p w:rsidR="00000000" w:rsidP="00BC415C">
            <w:pPr>
              <w:pStyle w:val="ListBullet"/>
              <w:rPr>
                <w:lang w:val="en-NZ"/>
              </w:rPr>
            </w:pPr>
            <w:r w:rsidRPr="00BC415C">
              <w:t>Provi</w:t>
            </w:r>
            <w:r w:rsidRPr="00BC415C">
              <w:t>des information during or after work-related psychological health and safety response situations using structure and language appropriate to the audience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ListBullet"/>
            </w:pPr>
            <w:r w:rsidRPr="00BC415C">
              <w:t>Contributes to broader goals in work-related psychological health and saf</w:t>
            </w:r>
            <w:r w:rsidRPr="00BC415C">
              <w:t>ety contexts</w:t>
            </w:r>
          </w:p>
          <w:p w:rsidR="00000000" w:rsidRPr="00BC415C" w:rsidP="00BC415C">
            <w:pPr>
              <w:pStyle w:val="ListBullet"/>
            </w:pPr>
            <w:r w:rsidRPr="00BC415C">
              <w:t>Identifies own legal rights and responsibilities, and general legal principles in relation to work-related psychological health and safety contexts</w:t>
            </w:r>
          </w:p>
          <w:p w:rsidR="00000000" w:rsidP="00BC415C">
            <w:pPr>
              <w:pStyle w:val="ListBullet"/>
              <w:rPr>
                <w:lang w:val="en-NZ"/>
              </w:rPr>
            </w:pPr>
            <w:r w:rsidRPr="00BC415C">
              <w:t>Keeps up to date on changes to WHS laws relevant to own role and responsibilities, and consider</w:t>
            </w:r>
            <w:r w:rsidRPr="00BC415C">
              <w:t>s their implications in work-related psychological health and safety contexts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ListBullet"/>
            </w:pPr>
            <w:r w:rsidRPr="00BC415C">
              <w:t>Collaborates with others to achieve joint outcomes, playing an active role in facilitating effective group interaction</w:t>
            </w:r>
          </w:p>
          <w:p w:rsidR="00000000" w:rsidP="00BC415C">
            <w:pPr>
              <w:pStyle w:val="ListBullet"/>
              <w:rPr>
                <w:lang w:val="en-NZ"/>
              </w:rPr>
            </w:pPr>
            <w:r w:rsidRPr="00BC415C">
              <w:t xml:space="preserve">Supports, consults and liaises with </w:t>
            </w:r>
            <w:r w:rsidRPr="00BC415C">
              <w:t>others in work-related psychological health and safety situations</w:t>
            </w:r>
          </w:p>
        </w:tc>
      </w:tr>
      <w:tr w:rsidTr="007D6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5C">
            <w:pPr>
              <w:pStyle w:val="BodyText"/>
              <w:rPr>
                <w:lang w:val="en-NZ"/>
              </w:rPr>
            </w:pPr>
            <w:r w:rsidRPr="00BC415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5C" w:rsidP="00BC415C">
            <w:pPr>
              <w:pStyle w:val="ListBullet"/>
            </w:pPr>
            <w:r w:rsidRPr="00BC415C">
              <w:t>Formulates plans and monitors actions against stated goals, adjusting plans and resources to cope with contingencies</w:t>
            </w:r>
          </w:p>
          <w:p w:rsidR="00000000" w:rsidRPr="00BC415C" w:rsidP="00BC415C">
            <w:pPr>
              <w:pStyle w:val="ListBullet"/>
            </w:pPr>
            <w:r w:rsidRPr="00BC415C">
              <w:t>Uses decision-making processes: sets and clarifies goals, gathers information, and identifies and evaluates several choices to determine appropriate actions and responses</w:t>
            </w:r>
          </w:p>
          <w:p w:rsidR="00000000" w:rsidRPr="00BC415C" w:rsidP="00BC415C">
            <w:pPr>
              <w:pStyle w:val="ListBullet"/>
            </w:pPr>
            <w:r w:rsidRPr="00BC415C">
              <w:t xml:space="preserve">Applies problem-solving processes when identifying actions required for work-related </w:t>
            </w:r>
            <w:r w:rsidRPr="00BC415C">
              <w:t>psychological health and safety</w:t>
            </w:r>
          </w:p>
          <w:p w:rsidR="00000000" w:rsidRPr="00BC415C" w:rsidP="00BC415C">
            <w:pPr>
              <w:pStyle w:val="ListBullet"/>
            </w:pPr>
            <w:r w:rsidRPr="00BC415C">
              <w:t>Documents outcomes and feedback from others in order to identify general principles and concepts that may be applicable in new situations</w:t>
            </w:r>
          </w:p>
          <w:p w:rsidR="00000000" w:rsidRPr="00BC415C" w:rsidP="00BC415C">
            <w:pPr>
              <w:pStyle w:val="ListBullet"/>
            </w:pPr>
            <w:r w:rsidRPr="00BC415C">
              <w:t>Identifies the potential of new approaches to enhance work practices and outcomes</w:t>
            </w:r>
          </w:p>
        </w:tc>
      </w:tr>
    </w:tbl>
    <w:p w:rsidR="00000000" w:rsidRPr="00BC415C" w:rsidP="00BC415C">
      <w:pPr>
        <w:pStyle w:val="BodyText"/>
      </w:pPr>
    </w:p>
    <w:p w:rsidR="00000000" w:rsidRPr="00BC415C" w:rsidP="00BC415C">
      <w:pPr>
        <w:pStyle w:val="AllowPageBreak"/>
      </w:pPr>
    </w:p>
    <w:p w:rsidR="00000000" w:rsidRPr="00BC415C" w:rsidP="00BC415C">
      <w:pPr>
        <w:pStyle w:val="Heading1"/>
      </w:pPr>
      <w:bookmarkStart w:id="6" w:name="O_1054183"/>
      <w:bookmarkEnd w:id="6"/>
      <w:r w:rsidRPr="00BC415C">
        <w:t>Unit Mapping Information</w:t>
      </w:r>
    </w:p>
    <w:p w:rsidR="00000000" w:rsidRPr="00BC415C" w:rsidP="007D6E94">
      <w:pPr>
        <w:pStyle w:val="BodyText"/>
      </w:pPr>
      <w:r w:rsidRPr="00BC415C">
        <w:t>No equivalent unit. New unit.</w:t>
      </w:r>
    </w:p>
    <w:p w:rsidR="00000000" w:rsidRPr="00BC415C" w:rsidP="00BC415C">
      <w:pPr>
        <w:pStyle w:val="Heading1"/>
      </w:pPr>
      <w:bookmarkStart w:id="7" w:name="O_1054176"/>
      <w:bookmarkEnd w:id="7"/>
      <w:r w:rsidRPr="00BC415C">
        <w:t>Links</w:t>
      </w:r>
    </w:p>
    <w:p w:rsidR="00000000" w:rsidRPr="00BC415C" w:rsidP="007D6E94">
      <w:pPr>
        <w:pStyle w:val="BodyText"/>
      </w:pPr>
      <w:r w:rsidRPr="00BC415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29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C415C" w:rsidP="00BC415C"/>
    <w:sectPr w:rsidSect="00BC41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5C" w:rsidRPr="007D6E94" w:rsidP="007D6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94" w:rsidP="00BC4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E94" w:rsidP="00BC4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6E94" w:rsidP="00BC4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15C" w:rsidRPr="007D6E94" w:rsidP="007D6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94" w:rsidRPr="002D2AF8" w:rsidP="00BC4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BSBWHS512 Contribute to managing work-related psychological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D6E94" w:rsidP="00BC4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1ED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225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15C"/>
  </w:style>
  <w:style w:type="character" w:customStyle="1" w:styleId="Heading1Char">
    <w:name w:val="Heading 1 Char"/>
    <w:basedOn w:val="DefaultParagraphFont"/>
    <w:link w:val="Heading1"/>
    <w:rsid w:val="00BC4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1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15C"/>
    <w:rPr>
      <w:b/>
      <w:spacing w:val="0"/>
    </w:rPr>
  </w:style>
  <w:style w:type="character" w:styleId="Emphasis">
    <w:name w:val="Emphasis"/>
    <w:basedOn w:val="DefaultParagraphFont"/>
    <w:qFormat/>
    <w:rsid w:val="00BC415C"/>
    <w:rPr>
      <w:i/>
    </w:rPr>
  </w:style>
  <w:style w:type="paragraph" w:customStyle="1" w:styleId="SuperHeading">
    <w:name w:val="SuperHeading"/>
    <w:basedOn w:val="Normal"/>
    <w:rsid w:val="00BC4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415C"/>
    <w:rPr>
      <w:b/>
    </w:rPr>
  </w:style>
  <w:style w:type="character" w:customStyle="1" w:styleId="Heading2Char">
    <w:name w:val="Heading 2 Char"/>
    <w:basedOn w:val="DefaultParagraphFont"/>
    <w:link w:val="Heading2"/>
    <w:rsid w:val="00BC4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1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15C"/>
  </w:style>
  <w:style w:type="paragraph" w:styleId="TableofFigures">
    <w:name w:val="table of figures"/>
    <w:basedOn w:val="Normal"/>
    <w:next w:val="Normal"/>
    <w:semiHidden/>
    <w:rsid w:val="00BC4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1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15C"/>
    <w:rPr>
      <w:rFonts w:ascii="Wingdings" w:hAnsi="Wingdings"/>
    </w:rPr>
  </w:style>
  <w:style w:type="paragraph" w:customStyle="1" w:styleId="TableHeading">
    <w:name w:val="Table Heading"/>
    <w:basedOn w:val="HeadingBase"/>
    <w:rsid w:val="00BC4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15C"/>
    <w:rPr>
      <w:color w:val="0033CC"/>
      <w:u w:val="none"/>
    </w:rPr>
  </w:style>
  <w:style w:type="paragraph" w:customStyle="1" w:styleId="BodyTextRight">
    <w:name w:val="Body Text Right"/>
    <w:basedOn w:val="BodyText"/>
    <w:rsid w:val="00BC4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15C"/>
    <w:rPr>
      <w:sz w:val="32"/>
    </w:rPr>
  </w:style>
  <w:style w:type="paragraph" w:customStyle="1" w:styleId="HeadingProcedure">
    <w:name w:val="Heading Procedure"/>
    <w:basedOn w:val="HeadingBase"/>
    <w:next w:val="Normal"/>
    <w:rsid w:val="00BC4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15C"/>
    <w:pPr>
      <w:spacing w:before="60" w:after="60"/>
    </w:pPr>
  </w:style>
  <w:style w:type="paragraph" w:styleId="ListContinue">
    <w:name w:val="List Continue"/>
    <w:basedOn w:val="List"/>
    <w:rsid w:val="00BC415C"/>
    <w:pPr>
      <w:ind w:firstLine="0"/>
    </w:pPr>
  </w:style>
  <w:style w:type="paragraph" w:customStyle="1" w:styleId="ListNote">
    <w:name w:val="List Note"/>
    <w:basedOn w:val="List"/>
    <w:rsid w:val="00BC4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15C"/>
    <w:rPr>
      <w:rFonts w:ascii="Courier New" w:hAnsi="Courier New"/>
    </w:rPr>
  </w:style>
  <w:style w:type="paragraph" w:customStyle="1" w:styleId="NoteBullet">
    <w:name w:val="Note Bullet"/>
    <w:basedOn w:val="Note"/>
    <w:rsid w:val="00BC4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15C"/>
    <w:rPr>
      <w:b/>
      <w:smallCaps/>
    </w:rPr>
  </w:style>
  <w:style w:type="paragraph" w:customStyle="1" w:styleId="TableListNumber">
    <w:name w:val="Table List Number"/>
    <w:basedOn w:val="ListNumber"/>
    <w:rsid w:val="00BC4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15C"/>
    <w:pPr>
      <w:numPr>
        <w:numId w:val="8"/>
      </w:numPr>
    </w:pPr>
  </w:style>
  <w:style w:type="paragraph" w:customStyle="1" w:styleId="ListAlpha2">
    <w:name w:val="List Alpha 2"/>
    <w:basedOn w:val="List2"/>
    <w:rsid w:val="00BC415C"/>
    <w:pPr>
      <w:numPr>
        <w:numId w:val="7"/>
      </w:numPr>
    </w:pPr>
  </w:style>
  <w:style w:type="paragraph" w:styleId="List2">
    <w:name w:val="List 2"/>
    <w:basedOn w:val="BodyText"/>
    <w:rsid w:val="00BC4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1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15C"/>
    <w:pPr>
      <w:numPr>
        <w:numId w:val="3"/>
      </w:numPr>
    </w:pPr>
  </w:style>
  <w:style w:type="paragraph" w:styleId="ListContinue2">
    <w:name w:val="List Continue 2"/>
    <w:basedOn w:val="List2"/>
    <w:rsid w:val="00BC415C"/>
    <w:pPr>
      <w:ind w:firstLine="0"/>
    </w:pPr>
  </w:style>
  <w:style w:type="paragraph" w:styleId="ListContinue3">
    <w:name w:val="List Continue 3"/>
    <w:basedOn w:val="List3"/>
    <w:rsid w:val="00BC415C"/>
    <w:pPr>
      <w:ind w:left="1021" w:firstLine="0"/>
    </w:pPr>
  </w:style>
  <w:style w:type="paragraph" w:styleId="ListContinue4">
    <w:name w:val="List Continue 4"/>
    <w:basedOn w:val="List4"/>
    <w:rsid w:val="00BC415C"/>
    <w:pPr>
      <w:ind w:firstLine="0"/>
    </w:pPr>
  </w:style>
  <w:style w:type="paragraph" w:styleId="ListContinue5">
    <w:name w:val="List Continue 5"/>
    <w:basedOn w:val="List5"/>
    <w:rsid w:val="00BC415C"/>
    <w:pPr>
      <w:ind w:firstLine="0"/>
    </w:pPr>
  </w:style>
  <w:style w:type="paragraph" w:styleId="ListNumber3">
    <w:name w:val="List Number 3"/>
    <w:basedOn w:val="List3"/>
    <w:rsid w:val="00BC415C"/>
    <w:pPr>
      <w:numPr>
        <w:numId w:val="4"/>
      </w:numPr>
    </w:pPr>
  </w:style>
  <w:style w:type="paragraph" w:styleId="ListNumber4">
    <w:name w:val="List Number 4"/>
    <w:basedOn w:val="List4"/>
    <w:rsid w:val="00BC415C"/>
    <w:pPr>
      <w:numPr>
        <w:numId w:val="5"/>
      </w:numPr>
    </w:pPr>
  </w:style>
  <w:style w:type="paragraph" w:styleId="ListNumber5">
    <w:name w:val="List Number 5"/>
    <w:basedOn w:val="List5"/>
    <w:rsid w:val="00BC415C"/>
    <w:pPr>
      <w:numPr>
        <w:numId w:val="6"/>
      </w:numPr>
    </w:pPr>
  </w:style>
  <w:style w:type="paragraph" w:styleId="BlockText">
    <w:name w:val="Block Text"/>
    <w:basedOn w:val="Normal"/>
    <w:rsid w:val="00BC4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15C"/>
    <w:rPr>
      <w:sz w:val="16"/>
      <w:vertAlign w:val="superscript"/>
    </w:rPr>
  </w:style>
  <w:style w:type="character" w:customStyle="1" w:styleId="Symbols">
    <w:name w:val="Symbols"/>
    <w:basedOn w:val="DefaultParagraphFont"/>
    <w:rsid w:val="00BC415C"/>
    <w:rPr>
      <w:rFonts w:ascii="Symbol" w:hAnsi="Symbol"/>
    </w:rPr>
  </w:style>
  <w:style w:type="character" w:customStyle="1" w:styleId="MenuOptions">
    <w:name w:val="Menu Options"/>
    <w:basedOn w:val="DefaultParagraphFont"/>
    <w:rsid w:val="00BC4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15C"/>
    <w:rPr>
      <w:b/>
    </w:rPr>
  </w:style>
  <w:style w:type="character" w:customStyle="1" w:styleId="Underlined">
    <w:name w:val="Underlined"/>
    <w:basedOn w:val="DefaultParagraphFont"/>
    <w:rsid w:val="00BC415C"/>
    <w:rPr>
      <w:u w:val="single"/>
    </w:rPr>
  </w:style>
  <w:style w:type="paragraph" w:customStyle="1" w:styleId="TableBodyTextRight">
    <w:name w:val="Table Body Text Right"/>
    <w:basedOn w:val="TableBodyText"/>
    <w:rsid w:val="00BC4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15C"/>
    <w:rPr>
      <w:sz w:val="18"/>
    </w:rPr>
  </w:style>
  <w:style w:type="paragraph" w:customStyle="1" w:styleId="BodySmallRight">
    <w:name w:val="Body Small Right"/>
    <w:basedOn w:val="BodyTextRight"/>
    <w:rsid w:val="00BC415C"/>
    <w:rPr>
      <w:sz w:val="18"/>
      <w:szCs w:val="18"/>
    </w:rPr>
  </w:style>
  <w:style w:type="paragraph" w:customStyle="1" w:styleId="MarginEdition">
    <w:name w:val="Margin Edition"/>
    <w:basedOn w:val="MarginNote"/>
    <w:rsid w:val="00BC4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15C"/>
    <w:rPr>
      <w:sz w:val="2"/>
      <w:szCs w:val="2"/>
    </w:rPr>
  </w:style>
  <w:style w:type="character" w:customStyle="1" w:styleId="Small">
    <w:name w:val="Small"/>
    <w:basedOn w:val="DefaultParagraphFont"/>
    <w:rsid w:val="00BC415C"/>
    <w:rPr>
      <w:sz w:val="16"/>
    </w:rPr>
  </w:style>
  <w:style w:type="paragraph" w:customStyle="1" w:styleId="WideTable">
    <w:name w:val="Wide Table"/>
    <w:basedOn w:val="Normal"/>
    <w:rsid w:val="00BC4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15C"/>
  </w:style>
  <w:style w:type="paragraph" w:styleId="Quote">
    <w:name w:val="Quote"/>
    <w:basedOn w:val="Heading1"/>
    <w:link w:val="QuoteChar"/>
    <w:qFormat/>
    <w:rsid w:val="00BC4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15C"/>
    <w:pPr>
      <w:pageBreakBefore/>
    </w:pPr>
  </w:style>
  <w:style w:type="paragraph" w:customStyle="1" w:styleId="Border">
    <w:name w:val="Border"/>
    <w:basedOn w:val="Normal"/>
    <w:qFormat/>
    <w:rsid w:val="00BC4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15C"/>
    <w:rPr>
      <w:u w:val="single"/>
    </w:rPr>
  </w:style>
  <w:style w:type="character" w:customStyle="1" w:styleId="BoldandItalics">
    <w:name w:val="Bold and Italics"/>
    <w:qFormat/>
    <w:rsid w:val="00BC415C"/>
    <w:rPr>
      <w:b/>
      <w:i/>
      <w:u w:val="none"/>
    </w:rPr>
  </w:style>
  <w:style w:type="paragraph" w:styleId="BalloonText">
    <w:name w:val="Balloon Text"/>
    <w:basedOn w:val="Normal"/>
    <w:link w:val="BalloonTextChar"/>
    <w:rsid w:val="00BC4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1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6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6088</Characters>
  <Application>Microsoft Office Word</Application>
  <DocSecurity>0</DocSecurity>
  <Lines>169</Lines>
  <Paragraphs>86</Paragraphs>
  <ScaleCrop>false</ScaleCrop>
  <Company>Author-it Software Corporation Ltd.</Company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BSBWHS512 Contribute to managing work-related psychological health and safety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