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509C" w:rsidP="006350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BSBWHS419 Contribute to implementing WHS monitoring processes</w:t>
      </w:r>
      <w:r>
        <w:fldChar w:fldCharType="end"/>
      </w:r>
    </w:p>
    <w:p w:rsidR="0063509C" w:rsidP="0063509C">
      <w:pPr>
        <w:pStyle w:val="Version"/>
        <w:sectPr w:rsidSect="005F7C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C61" w:rsidP="005F7C61">
      <w:pPr>
        <w:pStyle w:val="SuperHeading"/>
      </w:pPr>
      <w:r w:rsidRPr="005F7C61">
        <w:t>Assessment Requirements for BSBWHS419 Contribute to implementing WHS monitoring processes</w:t>
      </w:r>
    </w:p>
    <w:p w:rsidR="00000000" w:rsidRPr="005F7C61" w:rsidP="005F7C61">
      <w:pPr>
        <w:pStyle w:val="Heading1"/>
      </w:pPr>
      <w:bookmarkStart w:id="1" w:name="O_1054146"/>
      <w:bookmarkEnd w:id="1"/>
      <w:r w:rsidRPr="005F7C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4"/>
        <w:gridCol w:w="5873"/>
      </w:tblGrid>
      <w:tr w:rsidTr="005F7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C61" w:rsidP="005F7C61">
            <w:pPr>
              <w:pStyle w:val="BodyText"/>
            </w:pPr>
            <w:r w:rsidRPr="005F7C6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61">
            <w:pPr>
              <w:pStyle w:val="BodyText"/>
              <w:rPr>
                <w:lang w:val="en-NZ"/>
              </w:rPr>
            </w:pPr>
            <w:r w:rsidRPr="005F7C61">
              <w:rPr>
                <w:rStyle w:val="SpecialBold"/>
              </w:rPr>
              <w:t>Comments</w:t>
            </w:r>
          </w:p>
        </w:tc>
      </w:tr>
      <w:tr w:rsidTr="005F7C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C61">
            <w:pPr>
              <w:pStyle w:val="BodyText"/>
              <w:rPr>
                <w:lang w:val="en-NZ"/>
              </w:rPr>
            </w:pPr>
            <w:r w:rsidRPr="005F7C6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C61" w:rsidP="005F7C61">
            <w:pPr>
              <w:pStyle w:val="BodyText"/>
            </w:pPr>
            <w:r w:rsidRPr="005F7C61">
              <w:t>This version first released with BSB Business Services Training Package Version 5.0.</w:t>
            </w:r>
          </w:p>
        </w:tc>
      </w:tr>
    </w:tbl>
    <w:p w:rsidR="00000000" w:rsidRPr="005F7C61" w:rsidP="005F7C61">
      <w:pPr>
        <w:pStyle w:val="BodyText"/>
      </w:pPr>
    </w:p>
    <w:p w:rsidR="00000000" w:rsidRPr="005F7C61" w:rsidP="005F7C61">
      <w:pPr>
        <w:pStyle w:val="AllowPageBreak"/>
      </w:pPr>
    </w:p>
    <w:p w:rsidR="00000000" w:rsidRPr="005F7C61" w:rsidP="005F7C61">
      <w:pPr>
        <w:pStyle w:val="Heading1"/>
      </w:pPr>
      <w:bookmarkStart w:id="2" w:name="O_1054149"/>
      <w:bookmarkEnd w:id="2"/>
      <w:r w:rsidRPr="005F7C61">
        <w:t>Performance Evidence</w:t>
      </w:r>
    </w:p>
    <w:p w:rsidR="00000000" w:rsidRPr="005F7C61" w:rsidP="0063509C">
      <w:pPr>
        <w:pStyle w:val="BodyText"/>
      </w:pPr>
      <w:r w:rsidRPr="005F7C61">
        <w:t>The candidate must demonstrate the ability to complete the tasks outlined in the elements, performance criteria and foundation skills of this unit, and to:</w:t>
      </w:r>
    </w:p>
    <w:p w:rsidR="00000000" w:rsidRPr="005F7C61" w:rsidP="005F7C61">
      <w:pPr>
        <w:pStyle w:val="ListBullet"/>
      </w:pPr>
      <w:r w:rsidRPr="005F7C61">
        <w:t xml:space="preserve">contribute to monitoring at least three different physical agents or </w:t>
      </w:r>
      <w:r w:rsidRPr="005F7C61">
        <w:t>conditions relating to work health and safety (WHS) typically found in the workplace.</w:t>
      </w:r>
    </w:p>
    <w:p w:rsidR="00000000" w:rsidRPr="005F7C61" w:rsidP="005F7C61">
      <w:pPr>
        <w:pStyle w:val="BodyText"/>
      </w:pPr>
    </w:p>
    <w:p w:rsidR="00000000" w:rsidRPr="005F7C61" w:rsidP="0063509C">
      <w:pPr>
        <w:pStyle w:val="BodyText"/>
      </w:pPr>
      <w:r w:rsidRPr="005F7C61">
        <w:t>During each of these occasions, the candidate must:</w:t>
      </w:r>
    </w:p>
    <w:p w:rsidR="00000000" w:rsidRPr="005F7C61" w:rsidP="005F7C61">
      <w:pPr>
        <w:pStyle w:val="ListBullet"/>
      </w:pPr>
      <w:r w:rsidRPr="005F7C61">
        <w:t>identify regulatory requirements and standards that apply to monitoring physical agents and/or conditions relevant t</w:t>
      </w:r>
      <w:r w:rsidRPr="005F7C61">
        <w:t>o WHS</w:t>
      </w:r>
    </w:p>
    <w:p w:rsidR="00000000" w:rsidRPr="005F7C61" w:rsidP="005F7C61">
      <w:pPr>
        <w:pStyle w:val="ListBullet"/>
      </w:pPr>
      <w:r w:rsidRPr="005F7C61">
        <w:t>identify context of measurements to be undertaken, including:</w:t>
      </w:r>
    </w:p>
    <w:p w:rsidR="00000000" w:rsidRPr="005F7C61" w:rsidP="005F7C61">
      <w:pPr>
        <w:pStyle w:val="ListBullet2"/>
      </w:pPr>
      <w:r w:rsidRPr="005F7C61">
        <w:t>physical agents and/or conditions to be measured and their characteristics</w:t>
      </w:r>
    </w:p>
    <w:p w:rsidR="00000000" w:rsidRPr="005F7C61" w:rsidP="005F7C61">
      <w:pPr>
        <w:pStyle w:val="ListBullet2"/>
      </w:pPr>
      <w:r w:rsidRPr="005F7C61">
        <w:t>where measurements will be taken</w:t>
      </w:r>
    </w:p>
    <w:p w:rsidR="00000000" w:rsidRPr="005F7C61" w:rsidP="005F7C61">
      <w:pPr>
        <w:pStyle w:val="ListBullet2"/>
      </w:pPr>
      <w:r w:rsidRPr="005F7C61">
        <w:t>area or space available</w:t>
      </w:r>
    </w:p>
    <w:p w:rsidR="00000000" w:rsidRPr="005F7C61" w:rsidP="005F7C61">
      <w:pPr>
        <w:pStyle w:val="ListBullet2"/>
      </w:pPr>
      <w:r w:rsidRPr="005F7C61">
        <w:t>movements of people and equipment, tasks or activities being undertaken, number of persons occupying area, and other factors that may impact on the sampling or data-collection processes and the health and safety of self and others</w:t>
      </w:r>
    </w:p>
    <w:p w:rsidR="00000000" w:rsidRPr="005F7C61" w:rsidP="005F7C61">
      <w:pPr>
        <w:pStyle w:val="ListBullet2"/>
      </w:pPr>
      <w:r w:rsidRPr="005F7C61">
        <w:t>physical features of equi</w:t>
      </w:r>
      <w:r w:rsidRPr="005F7C61">
        <w:t>pment, such as emitting sources</w:t>
      </w:r>
    </w:p>
    <w:p w:rsidR="00000000" w:rsidRPr="005F7C61" w:rsidP="005F7C61">
      <w:pPr>
        <w:pStyle w:val="ListBullet"/>
      </w:pPr>
      <w:r w:rsidRPr="005F7C61">
        <w:t>prepare and collect WHS data and information</w:t>
      </w:r>
    </w:p>
    <w:p w:rsidR="00000000" w:rsidRPr="005F7C61" w:rsidP="005F7C61">
      <w:pPr>
        <w:pStyle w:val="ListBullet"/>
      </w:pPr>
      <w:r w:rsidRPr="005F7C61">
        <w:t>consult and communicate with individuals and parties regarding monitoring process</w:t>
      </w:r>
    </w:p>
    <w:p w:rsidR="0063509C" w:rsidP="005F7C61">
      <w:pPr>
        <w:pStyle w:val="ListBullet"/>
      </w:pPr>
      <w:r w:rsidRPr="005F7C61">
        <w:t>seek expert advice, support and equipment as required.</w:t>
      </w:r>
    </w:p>
    <w:p w:rsidR="0063509C" w:rsidP="005F7C61">
      <w:pPr>
        <w:pStyle w:val="ListBullet"/>
      </w:pPr>
    </w:p>
    <w:p w:rsidR="00000000" w:rsidRPr="005F7C61" w:rsidP="005F7C61">
      <w:pPr>
        <w:pStyle w:val="Heading1"/>
      </w:pPr>
      <w:bookmarkStart w:id="3" w:name="O_1054148"/>
      <w:bookmarkEnd w:id="3"/>
      <w:r w:rsidRPr="005F7C61">
        <w:t>Knowledge Evidence</w:t>
      </w:r>
    </w:p>
    <w:p w:rsidR="00000000" w:rsidRPr="005F7C61" w:rsidP="0063509C">
      <w:pPr>
        <w:pStyle w:val="BodyText"/>
      </w:pPr>
      <w:r w:rsidRPr="005F7C61">
        <w:t>Th</w:t>
      </w:r>
      <w:r w:rsidRPr="005F7C61">
        <w:t>e candidate must demonstrate the knowledge to complete the tasks outlined in the elements, performance criteria and foundation skills of this unit. This includes knowledge of:</w:t>
      </w:r>
    </w:p>
    <w:p w:rsidR="00000000" w:rsidRPr="005F7C61" w:rsidP="005F7C61">
      <w:pPr>
        <w:pStyle w:val="ListBullet"/>
      </w:pPr>
      <w:r w:rsidRPr="005F7C61">
        <w:t>internal and external sources of WHS information and data</w:t>
      </w:r>
    </w:p>
    <w:p w:rsidR="00000000" w:rsidRPr="005F7C61" w:rsidP="005F7C61">
      <w:pPr>
        <w:pStyle w:val="ListBullet"/>
      </w:pPr>
      <w:r w:rsidRPr="005F7C61">
        <w:t>typical physical agents and/or conditions relevant to WHS, including:</w:t>
      </w:r>
    </w:p>
    <w:p w:rsidR="00000000" w:rsidRPr="005F7C61" w:rsidP="005F7C61">
      <w:pPr>
        <w:pStyle w:val="ListBullet2"/>
      </w:pPr>
      <w:r w:rsidRPr="005F7C61">
        <w:t>biological agents, such as insects, mites and bacteria</w:t>
      </w:r>
    </w:p>
    <w:p w:rsidR="00000000" w:rsidRPr="005F7C61" w:rsidP="005F7C61">
      <w:pPr>
        <w:pStyle w:val="ListBullet2"/>
      </w:pPr>
      <w:r w:rsidRPr="005F7C61">
        <w:t>electricity</w:t>
      </w:r>
    </w:p>
    <w:p w:rsidR="00000000" w:rsidRPr="005F7C61" w:rsidP="005F7C61">
      <w:pPr>
        <w:pStyle w:val="ListBullet2"/>
      </w:pPr>
      <w:r w:rsidRPr="005F7C61">
        <w:t>fibres, dusts and particulates</w:t>
      </w:r>
    </w:p>
    <w:p w:rsidR="00000000" w:rsidRPr="005F7C61" w:rsidP="005F7C61">
      <w:pPr>
        <w:pStyle w:val="ListBullet2"/>
      </w:pPr>
      <w:r w:rsidRPr="005F7C61">
        <w:t>fumes, mists, gases and vapours</w:t>
      </w:r>
    </w:p>
    <w:p w:rsidR="00000000" w:rsidRPr="005F7C61" w:rsidP="005F7C61">
      <w:pPr>
        <w:pStyle w:val="ListBullet2"/>
      </w:pPr>
      <w:r w:rsidRPr="005F7C61">
        <w:t>heat and humidity</w:t>
      </w:r>
    </w:p>
    <w:p w:rsidR="00000000" w:rsidRPr="005F7C61" w:rsidP="005F7C61">
      <w:pPr>
        <w:pStyle w:val="ListBullet2"/>
      </w:pPr>
      <w:r w:rsidRPr="005F7C61">
        <w:t>light</w:t>
      </w:r>
    </w:p>
    <w:p w:rsidR="00000000" w:rsidRPr="005F7C61" w:rsidP="005F7C61">
      <w:pPr>
        <w:pStyle w:val="ListBullet2"/>
      </w:pPr>
      <w:r w:rsidRPr="005F7C61">
        <w:t>noise</w:t>
      </w:r>
    </w:p>
    <w:p w:rsidR="00000000" w:rsidRPr="005F7C61" w:rsidP="005F7C61">
      <w:pPr>
        <w:pStyle w:val="ListBullet2"/>
      </w:pPr>
      <w:r w:rsidRPr="005F7C61">
        <w:t>radiation, including ioni</w:t>
      </w:r>
      <w:r w:rsidRPr="005F7C61">
        <w:t>sing, non-ionising and laser</w:t>
      </w:r>
    </w:p>
    <w:p w:rsidR="00000000" w:rsidRPr="005F7C61" w:rsidP="005F7C61">
      <w:pPr>
        <w:pStyle w:val="ListBullet2"/>
      </w:pPr>
      <w:r w:rsidRPr="005F7C61">
        <w:t>vibration</w:t>
      </w:r>
    </w:p>
    <w:p w:rsidR="00000000" w:rsidRPr="005F7C61" w:rsidP="005F7C61">
      <w:pPr>
        <w:pStyle w:val="ListBullet"/>
      </w:pPr>
      <w:r w:rsidRPr="005F7C61">
        <w:t>aspects of WHS laws and standards relevant to using testing equipment and measuring physical agents and/or conditions and how they apply to the organisation</w:t>
      </w:r>
    </w:p>
    <w:p w:rsidR="00000000" w:rsidRPr="005F7C61" w:rsidP="005F7C61">
      <w:pPr>
        <w:pStyle w:val="ListBullet"/>
      </w:pPr>
      <w:r w:rsidRPr="005F7C61">
        <w:t xml:space="preserve">mode of action of common physical agents and/or conditions </w:t>
      </w:r>
      <w:r w:rsidRPr="005F7C61">
        <w:t>on the body and how they produce discomfort and harm</w:t>
      </w:r>
    </w:p>
    <w:p w:rsidR="00000000" w:rsidRPr="005F7C61" w:rsidP="005F7C61">
      <w:pPr>
        <w:pStyle w:val="ListBullet"/>
      </w:pPr>
      <w:r w:rsidRPr="005F7C61">
        <w:t>characteristics, modes of action and units of measurement for major physical agents and/or conditions</w:t>
      </w:r>
    </w:p>
    <w:p w:rsidR="00000000" w:rsidRPr="005F7C61" w:rsidP="005F7C61">
      <w:pPr>
        <w:pStyle w:val="ListBullet"/>
      </w:pPr>
      <w:r w:rsidRPr="005F7C61">
        <w:t>environmental conditions that impact on measurements</w:t>
      </w:r>
    </w:p>
    <w:p w:rsidR="00000000" w:rsidRPr="005F7C61" w:rsidP="005F7C61">
      <w:pPr>
        <w:pStyle w:val="ListBullet"/>
      </w:pPr>
      <w:r w:rsidRPr="005F7C61">
        <w:t xml:space="preserve">types of measuring and monitoring equipment and </w:t>
      </w:r>
      <w:r w:rsidRPr="005F7C61">
        <w:t>techniques for correct and safe use, including limitations on use and output, adjustment, maintenance and any in-built alarms</w:t>
      </w:r>
    </w:p>
    <w:p w:rsidR="00000000" w:rsidRPr="005F7C61" w:rsidP="005F7C61">
      <w:pPr>
        <w:pStyle w:val="ListBullet"/>
      </w:pPr>
      <w:r w:rsidRPr="005F7C61">
        <w:t>personal communication strategies to facilitate engagement with workplace parties and individuals</w:t>
      </w:r>
    </w:p>
    <w:p w:rsidR="00000000" w:rsidRPr="005F7C61" w:rsidP="005F7C61">
      <w:pPr>
        <w:pStyle w:val="ListBullet"/>
      </w:pPr>
      <w:r w:rsidRPr="005F7C61">
        <w:t>organisational policies and procedures for:</w:t>
      </w:r>
    </w:p>
    <w:p w:rsidR="00000000" w:rsidRPr="005F7C61" w:rsidP="005F7C61">
      <w:pPr>
        <w:pStyle w:val="ListBullet2"/>
      </w:pPr>
      <w:r w:rsidRPr="005F7C61">
        <w:t>identifying physical agent and/or condition to be measured</w:t>
      </w:r>
    </w:p>
    <w:p w:rsidR="00000000" w:rsidRPr="005F7C61" w:rsidP="005F7C61">
      <w:pPr>
        <w:pStyle w:val="ListBullet2"/>
      </w:pPr>
      <w:r w:rsidRPr="005F7C61">
        <w:t>determining sampling process and defining a plan</w:t>
      </w:r>
    </w:p>
    <w:p w:rsidR="00000000" w:rsidRPr="005F7C61" w:rsidP="005F7C61">
      <w:pPr>
        <w:pStyle w:val="ListBullet2"/>
      </w:pPr>
      <w:r w:rsidRPr="005F7C61">
        <w:t>checking operability of equipment to ensure it meets organisational and work activity requirements</w:t>
      </w:r>
    </w:p>
    <w:p w:rsidR="00000000" w:rsidRPr="005F7C61" w:rsidP="005F7C61">
      <w:pPr>
        <w:pStyle w:val="ListBullet2"/>
      </w:pPr>
      <w:r w:rsidRPr="005F7C61">
        <w:t>main</w:t>
      </w:r>
      <w:r w:rsidRPr="005F7C61">
        <w:t>taining own health and safety and that of others present during process described in the performance evidence</w:t>
      </w:r>
    </w:p>
    <w:p w:rsidR="00000000" w:rsidRPr="005F7C61" w:rsidP="005F7C61">
      <w:pPr>
        <w:pStyle w:val="ListBullet2"/>
      </w:pPr>
      <w:r w:rsidRPr="005F7C61">
        <w:t>reinstating equipment to pre-use condition, including for dismantling and cleaning equipment and parts</w:t>
      </w:r>
    </w:p>
    <w:p w:rsidR="00000000" w:rsidRPr="005F7C61" w:rsidP="005F7C61">
      <w:pPr>
        <w:pStyle w:val="ListBullet2"/>
      </w:pPr>
      <w:r w:rsidRPr="005F7C61">
        <w:t>storing and re-using equipment</w:t>
      </w:r>
    </w:p>
    <w:p w:rsidR="0063509C" w:rsidP="005F7C61">
      <w:pPr>
        <w:pStyle w:val="ListBullet2"/>
      </w:pPr>
      <w:r w:rsidRPr="005F7C61">
        <w:t>retaining re</w:t>
      </w:r>
      <w:r w:rsidRPr="005F7C61">
        <w:t>sults and records.</w:t>
      </w:r>
    </w:p>
    <w:p w:rsidR="0063509C" w:rsidP="005F7C61">
      <w:pPr>
        <w:pStyle w:val="ListBullet2"/>
      </w:pPr>
    </w:p>
    <w:p w:rsidR="00000000" w:rsidRPr="005F7C61" w:rsidP="005F7C61">
      <w:pPr>
        <w:pStyle w:val="Heading1"/>
      </w:pPr>
      <w:bookmarkStart w:id="4" w:name="O_1054147"/>
      <w:bookmarkEnd w:id="4"/>
      <w:r w:rsidRPr="005F7C61">
        <w:t>Assessment Conditions</w:t>
      </w:r>
    </w:p>
    <w:p w:rsidR="00000000" w:rsidRPr="005F7C61" w:rsidP="0063509C">
      <w:pPr>
        <w:pStyle w:val="BodyText"/>
      </w:pPr>
      <w:r w:rsidRPr="005F7C61">
        <w:t>Assessment must comply with WHS laws, legal responsibilities and duty of care required for this unit. It must be conducted in a safe environment where evidence gathered demonstrates consistent pe</w:t>
      </w:r>
      <w:r w:rsidRPr="005F7C61">
        <w:t>rformance of typical activities undertaken by individuals carrying out WHS duties in the workplace, and must include access to:</w:t>
      </w:r>
    </w:p>
    <w:p w:rsidR="00000000" w:rsidRPr="005F7C61" w:rsidP="005F7C61">
      <w:pPr>
        <w:pStyle w:val="ListBullet"/>
      </w:pPr>
      <w:r w:rsidRPr="005F7C61">
        <w:t>measuring devices and equipment</w:t>
      </w:r>
    </w:p>
    <w:p w:rsidR="00000000" w:rsidRPr="005F7C61" w:rsidP="005F7C61">
      <w:pPr>
        <w:pStyle w:val="ListBullet"/>
      </w:pPr>
      <w:r w:rsidRPr="005F7C61">
        <w:t>workplace equipment and resources</w:t>
      </w:r>
    </w:p>
    <w:p w:rsidR="00000000" w:rsidRPr="005F7C61" w:rsidP="005F7C61">
      <w:pPr>
        <w:pStyle w:val="ListBullet"/>
      </w:pPr>
      <w:r w:rsidRPr="005F7C61">
        <w:t>WHS laws, licensing requirements and standards required to demonstrate the performance evidence</w:t>
      </w:r>
    </w:p>
    <w:p w:rsidR="00000000" w:rsidRPr="005F7C61" w:rsidP="005F7C61">
      <w:pPr>
        <w:pStyle w:val="ListBullet"/>
      </w:pPr>
      <w:r w:rsidRPr="005F7C61">
        <w:t>case studies and, where possible, real situations</w:t>
      </w:r>
    </w:p>
    <w:p w:rsidR="00000000" w:rsidRPr="005F7C61" w:rsidP="005F7C61">
      <w:pPr>
        <w:pStyle w:val="ListBullet"/>
      </w:pPr>
      <w:r w:rsidRPr="005F7C61">
        <w:t>opportunities for interaction with others.</w:t>
      </w:r>
    </w:p>
    <w:p w:rsidR="00000000" w:rsidRPr="005F7C61" w:rsidP="005F7C61">
      <w:pPr>
        <w:pStyle w:val="BodyText"/>
      </w:pPr>
    </w:p>
    <w:p w:rsidR="00000000" w:rsidRPr="005F7C61" w:rsidP="0063509C">
      <w:pPr>
        <w:pStyle w:val="BodyText"/>
      </w:pPr>
      <w:r w:rsidRPr="005F7C61">
        <w:t>Assessors of this unit must satisfy the assessor requirements in a</w:t>
      </w:r>
      <w:r w:rsidRPr="005F7C61">
        <w:t>pplicable vocational education and training legislation, frameworks and/or standards.</w:t>
      </w:r>
    </w:p>
    <w:p w:rsidR="00000000" w:rsidRPr="005F7C61" w:rsidP="005F7C61">
      <w:pPr>
        <w:pStyle w:val="Heading1"/>
      </w:pPr>
      <w:bookmarkStart w:id="5" w:name="O_1054145"/>
      <w:bookmarkEnd w:id="5"/>
      <w:r w:rsidRPr="005F7C61">
        <w:t>Links</w:t>
      </w:r>
    </w:p>
    <w:p w:rsidR="00000000" w:rsidRPr="005F7C61" w:rsidP="0063509C">
      <w:pPr>
        <w:pStyle w:val="BodyText"/>
      </w:pPr>
      <w:r w:rsidRPr="005F7C61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9256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F7C61" w:rsidP="005F7C61"/>
    <w:sectPr w:rsidSect="005F7C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61" w:rsidRPr="0063509C" w:rsidP="006350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9C" w:rsidP="005F7C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509C" w:rsidP="005F7C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509C" w:rsidP="005F7C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C61" w:rsidRPr="0063509C" w:rsidP="006350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C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09C" w:rsidRPr="002D2AF8" w:rsidP="005F7C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BSBWHS419 Contribute to implementing WHS monitoring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3509C" w:rsidP="005F7C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07A3B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AECF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2C6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C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C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C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C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C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C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C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C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C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C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C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C61"/>
  </w:style>
  <w:style w:type="character" w:customStyle="1" w:styleId="Heading1Char">
    <w:name w:val="Heading 1 Char"/>
    <w:basedOn w:val="DefaultParagraphFont"/>
    <w:link w:val="Heading1"/>
    <w:rsid w:val="005F7C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C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C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C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C61"/>
    <w:rPr>
      <w:b/>
      <w:spacing w:val="0"/>
    </w:rPr>
  </w:style>
  <w:style w:type="paragraph" w:styleId="ListBullet2">
    <w:name w:val="List Bullet 2"/>
    <w:basedOn w:val="List2"/>
    <w:rsid w:val="005F7C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7C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C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7C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C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C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C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C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C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C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C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C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C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C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C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C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C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C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C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C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C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C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C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C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C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C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C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C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C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C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C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C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C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C61"/>
    <w:rPr>
      <w:i/>
    </w:rPr>
  </w:style>
  <w:style w:type="paragraph" w:styleId="Caption">
    <w:name w:val="caption"/>
    <w:basedOn w:val="BodyText"/>
    <w:next w:val="Normal"/>
    <w:qFormat/>
    <w:rsid w:val="005F7C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C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C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C61"/>
  </w:style>
  <w:style w:type="paragraph" w:styleId="TableofFigures">
    <w:name w:val="table of figures"/>
    <w:basedOn w:val="Normal"/>
    <w:next w:val="Normal"/>
    <w:semiHidden/>
    <w:rsid w:val="005F7C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C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7C61"/>
    <w:rPr>
      <w:rFonts w:ascii="Wingdings" w:hAnsi="Wingdings"/>
    </w:rPr>
  </w:style>
  <w:style w:type="paragraph" w:customStyle="1" w:styleId="TableHeading">
    <w:name w:val="Table Heading"/>
    <w:basedOn w:val="HeadingBase"/>
    <w:rsid w:val="005F7C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C61"/>
    <w:rPr>
      <w:color w:val="0033CC"/>
      <w:u w:val="none"/>
    </w:rPr>
  </w:style>
  <w:style w:type="paragraph" w:customStyle="1" w:styleId="BodyTextRight">
    <w:name w:val="Body Text Right"/>
    <w:basedOn w:val="BodyText"/>
    <w:rsid w:val="005F7C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C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C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C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C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C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C61"/>
    <w:rPr>
      <w:sz w:val="32"/>
    </w:rPr>
  </w:style>
  <w:style w:type="paragraph" w:customStyle="1" w:styleId="HeadingProcedure">
    <w:name w:val="Heading Procedure"/>
    <w:basedOn w:val="HeadingBase"/>
    <w:next w:val="Normal"/>
    <w:rsid w:val="005F7C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C61"/>
    <w:pPr>
      <w:spacing w:before="60" w:after="60"/>
    </w:pPr>
  </w:style>
  <w:style w:type="paragraph" w:styleId="ListContinue">
    <w:name w:val="List Continue"/>
    <w:basedOn w:val="List"/>
    <w:rsid w:val="005F7C61"/>
    <w:pPr>
      <w:ind w:firstLine="0"/>
    </w:pPr>
  </w:style>
  <w:style w:type="paragraph" w:customStyle="1" w:styleId="ListNote">
    <w:name w:val="List Note"/>
    <w:basedOn w:val="List"/>
    <w:rsid w:val="005F7C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C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C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C61"/>
    <w:rPr>
      <w:rFonts w:ascii="Courier New" w:hAnsi="Courier New"/>
    </w:rPr>
  </w:style>
  <w:style w:type="paragraph" w:customStyle="1" w:styleId="NoteBullet">
    <w:name w:val="Note Bullet"/>
    <w:basedOn w:val="Note"/>
    <w:rsid w:val="005F7C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C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C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C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C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7C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C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C61"/>
    <w:rPr>
      <w:b/>
      <w:smallCaps/>
    </w:rPr>
  </w:style>
  <w:style w:type="paragraph" w:customStyle="1" w:styleId="TableListNumber">
    <w:name w:val="Table List Number"/>
    <w:basedOn w:val="ListNumber"/>
    <w:rsid w:val="005F7C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C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C61"/>
    <w:pPr>
      <w:numPr>
        <w:numId w:val="9"/>
      </w:numPr>
    </w:pPr>
  </w:style>
  <w:style w:type="paragraph" w:customStyle="1" w:styleId="ListAlpha2">
    <w:name w:val="List Alpha 2"/>
    <w:basedOn w:val="List2"/>
    <w:rsid w:val="005F7C61"/>
    <w:pPr>
      <w:numPr>
        <w:numId w:val="8"/>
      </w:numPr>
    </w:pPr>
  </w:style>
  <w:style w:type="paragraph" w:styleId="List2">
    <w:name w:val="List 2"/>
    <w:basedOn w:val="BodyText"/>
    <w:rsid w:val="005F7C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C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C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C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C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C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7C61"/>
    <w:pPr>
      <w:numPr>
        <w:numId w:val="4"/>
      </w:numPr>
    </w:pPr>
  </w:style>
  <w:style w:type="paragraph" w:styleId="ListContinue2">
    <w:name w:val="List Continue 2"/>
    <w:basedOn w:val="List2"/>
    <w:rsid w:val="005F7C61"/>
    <w:pPr>
      <w:ind w:firstLine="0"/>
    </w:pPr>
  </w:style>
  <w:style w:type="paragraph" w:styleId="ListContinue3">
    <w:name w:val="List Continue 3"/>
    <w:basedOn w:val="List3"/>
    <w:rsid w:val="005F7C61"/>
    <w:pPr>
      <w:ind w:left="1021" w:firstLine="0"/>
    </w:pPr>
  </w:style>
  <w:style w:type="paragraph" w:styleId="ListContinue4">
    <w:name w:val="List Continue 4"/>
    <w:basedOn w:val="List4"/>
    <w:rsid w:val="005F7C61"/>
    <w:pPr>
      <w:ind w:firstLine="0"/>
    </w:pPr>
  </w:style>
  <w:style w:type="paragraph" w:styleId="ListContinue5">
    <w:name w:val="List Continue 5"/>
    <w:basedOn w:val="List5"/>
    <w:rsid w:val="005F7C61"/>
    <w:pPr>
      <w:ind w:firstLine="0"/>
    </w:pPr>
  </w:style>
  <w:style w:type="paragraph" w:styleId="ListNumber3">
    <w:name w:val="List Number 3"/>
    <w:basedOn w:val="List3"/>
    <w:rsid w:val="005F7C61"/>
    <w:pPr>
      <w:numPr>
        <w:numId w:val="5"/>
      </w:numPr>
    </w:pPr>
  </w:style>
  <w:style w:type="paragraph" w:styleId="ListNumber4">
    <w:name w:val="List Number 4"/>
    <w:basedOn w:val="List4"/>
    <w:rsid w:val="005F7C61"/>
    <w:pPr>
      <w:numPr>
        <w:numId w:val="6"/>
      </w:numPr>
    </w:pPr>
  </w:style>
  <w:style w:type="paragraph" w:styleId="ListNumber5">
    <w:name w:val="List Number 5"/>
    <w:basedOn w:val="List5"/>
    <w:rsid w:val="005F7C61"/>
    <w:pPr>
      <w:numPr>
        <w:numId w:val="7"/>
      </w:numPr>
    </w:pPr>
  </w:style>
  <w:style w:type="paragraph" w:styleId="BlockText">
    <w:name w:val="Block Text"/>
    <w:basedOn w:val="Normal"/>
    <w:rsid w:val="005F7C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C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C61"/>
    <w:rPr>
      <w:sz w:val="16"/>
      <w:vertAlign w:val="superscript"/>
    </w:rPr>
  </w:style>
  <w:style w:type="character" w:customStyle="1" w:styleId="Symbols">
    <w:name w:val="Symbols"/>
    <w:basedOn w:val="DefaultParagraphFont"/>
    <w:rsid w:val="005F7C61"/>
    <w:rPr>
      <w:rFonts w:ascii="Symbol" w:hAnsi="Symbol"/>
    </w:rPr>
  </w:style>
  <w:style w:type="character" w:customStyle="1" w:styleId="MenuOptions">
    <w:name w:val="Menu Options"/>
    <w:basedOn w:val="DefaultParagraphFont"/>
    <w:rsid w:val="005F7C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C61"/>
    <w:rPr>
      <w:b/>
    </w:rPr>
  </w:style>
  <w:style w:type="character" w:customStyle="1" w:styleId="Underlined">
    <w:name w:val="Underlined"/>
    <w:basedOn w:val="DefaultParagraphFont"/>
    <w:rsid w:val="005F7C61"/>
    <w:rPr>
      <w:u w:val="single"/>
    </w:rPr>
  </w:style>
  <w:style w:type="paragraph" w:customStyle="1" w:styleId="TableBodyTextRight">
    <w:name w:val="Table Body Text Right"/>
    <w:basedOn w:val="TableBodyText"/>
    <w:rsid w:val="005F7C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C61"/>
    <w:rPr>
      <w:sz w:val="18"/>
    </w:rPr>
  </w:style>
  <w:style w:type="paragraph" w:customStyle="1" w:styleId="BodySmallRight">
    <w:name w:val="Body Small Right"/>
    <w:basedOn w:val="BodyTextRight"/>
    <w:rsid w:val="005F7C61"/>
    <w:rPr>
      <w:sz w:val="18"/>
      <w:szCs w:val="18"/>
    </w:rPr>
  </w:style>
  <w:style w:type="paragraph" w:customStyle="1" w:styleId="MarginEdition">
    <w:name w:val="Margin Edition"/>
    <w:basedOn w:val="MarginNote"/>
    <w:rsid w:val="005F7C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C61"/>
    <w:rPr>
      <w:sz w:val="2"/>
      <w:szCs w:val="2"/>
    </w:rPr>
  </w:style>
  <w:style w:type="character" w:customStyle="1" w:styleId="Small">
    <w:name w:val="Small"/>
    <w:basedOn w:val="DefaultParagraphFont"/>
    <w:rsid w:val="005F7C61"/>
    <w:rPr>
      <w:sz w:val="16"/>
    </w:rPr>
  </w:style>
  <w:style w:type="paragraph" w:customStyle="1" w:styleId="WideTable">
    <w:name w:val="Wide Table"/>
    <w:basedOn w:val="Normal"/>
    <w:rsid w:val="005F7C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C61"/>
  </w:style>
  <w:style w:type="paragraph" w:styleId="Quote">
    <w:name w:val="Quote"/>
    <w:basedOn w:val="Heading1"/>
    <w:link w:val="QuoteChar"/>
    <w:qFormat/>
    <w:rsid w:val="005F7C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C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C61"/>
    <w:pPr>
      <w:pageBreakBefore/>
    </w:pPr>
  </w:style>
  <w:style w:type="paragraph" w:customStyle="1" w:styleId="Border">
    <w:name w:val="Border"/>
    <w:basedOn w:val="Normal"/>
    <w:qFormat/>
    <w:rsid w:val="005F7C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C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C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C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C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C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C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C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C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C61"/>
    <w:rPr>
      <w:u w:val="single"/>
    </w:rPr>
  </w:style>
  <w:style w:type="character" w:customStyle="1" w:styleId="BoldandItalics">
    <w:name w:val="Bold and Italics"/>
    <w:qFormat/>
    <w:rsid w:val="005F7C61"/>
    <w:rPr>
      <w:b/>
      <w:i/>
      <w:u w:val="none"/>
    </w:rPr>
  </w:style>
  <w:style w:type="paragraph" w:styleId="BalloonText">
    <w:name w:val="Balloon Text"/>
    <w:basedOn w:val="Normal"/>
    <w:link w:val="BalloonTextChar"/>
    <w:rsid w:val="005F7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C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C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C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C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C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C61"/>
    <w:pPr>
      <w:spacing w:before="0" w:after="0"/>
    </w:pPr>
  </w:style>
  <w:style w:type="paragraph" w:customStyle="1" w:styleId="BodyTextBold">
    <w:name w:val="Body Text Bold"/>
    <w:basedOn w:val="BodyText"/>
    <w:qFormat/>
    <w:rsid w:val="005F7C61"/>
    <w:rPr>
      <w:b/>
    </w:rPr>
  </w:style>
  <w:style w:type="character" w:styleId="Hyperlink">
    <w:name w:val="Hyperlink"/>
    <w:basedOn w:val="DefaultParagraphFont"/>
    <w:uiPriority w:val="99"/>
    <w:unhideWhenUsed/>
    <w:rsid w:val="006350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3773</Characters>
  <Application>Microsoft Office Word</Application>
  <DocSecurity>0</DocSecurity>
  <Lines>94</Lines>
  <Paragraphs>70</Paragraphs>
  <ScaleCrop>false</ScaleCrop>
  <Company>Author-it Software Corporation Ltd.</Company>
  <LinksUpToDate>false</LinksUpToDate>
  <CharactersWithSpaces>4288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BSBWHS419 Contribute to implementing WHS monitoring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2022-12-16T03:25:00Z</dcterms:created>
  <dcterms:modified xsi:type="dcterms:W3CDTF">2022-12-16T03:25:00Z</dcterms:modified>
</cp:coreProperties>
</file>