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3C79" w:rsidP="00953C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BSBWHS417 Assist with managing WHS implications of return to work</w:t>
      </w:r>
      <w:r>
        <w:fldChar w:fldCharType="end"/>
      </w:r>
    </w:p>
    <w:p w:rsidR="00953C79" w:rsidP="00953C79">
      <w:pPr>
        <w:pStyle w:val="Version"/>
        <w:sectPr w:rsidSect="001174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744C" w:rsidP="0011744C">
      <w:pPr>
        <w:pStyle w:val="SuperHeading"/>
      </w:pPr>
      <w:r w:rsidRPr="0011744C">
        <w:t>Assessment Requirements for BSBWHS417 Assist with managing WHS implications of return to work</w:t>
      </w:r>
    </w:p>
    <w:p w:rsidR="00000000" w:rsidRPr="0011744C" w:rsidP="0011744C">
      <w:pPr>
        <w:pStyle w:val="Heading1"/>
      </w:pPr>
      <w:bookmarkStart w:id="1" w:name="O_1054114"/>
      <w:bookmarkEnd w:id="1"/>
      <w:r w:rsidRPr="0011744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4"/>
        <w:gridCol w:w="5873"/>
      </w:tblGrid>
      <w:tr w:rsidTr="001174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44C" w:rsidP="0011744C">
            <w:pPr>
              <w:pStyle w:val="BodyText"/>
            </w:pPr>
            <w:r w:rsidRPr="0011744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44C">
            <w:pPr>
              <w:pStyle w:val="BodyText"/>
              <w:rPr>
                <w:lang w:val="en-NZ"/>
              </w:rPr>
            </w:pPr>
            <w:r w:rsidRPr="0011744C">
              <w:rPr>
                <w:rStyle w:val="SpecialBold"/>
              </w:rPr>
              <w:t>Comments</w:t>
            </w:r>
          </w:p>
        </w:tc>
      </w:tr>
      <w:tr w:rsidTr="001174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44C">
            <w:pPr>
              <w:pStyle w:val="BodyText"/>
              <w:rPr>
                <w:lang w:val="en-NZ"/>
              </w:rPr>
            </w:pPr>
            <w:r w:rsidRPr="0011744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44C" w:rsidP="0011744C">
            <w:pPr>
              <w:pStyle w:val="BodyText"/>
            </w:pPr>
            <w:r w:rsidRPr="0011744C">
              <w:t>This version first released with BSB Business Services Training Package Version 5.0.</w:t>
            </w:r>
          </w:p>
        </w:tc>
      </w:tr>
    </w:tbl>
    <w:p w:rsidR="00000000" w:rsidRPr="0011744C" w:rsidP="0011744C">
      <w:pPr>
        <w:pStyle w:val="BodyText"/>
      </w:pPr>
    </w:p>
    <w:p w:rsidR="00000000" w:rsidRPr="0011744C" w:rsidP="0011744C">
      <w:pPr>
        <w:pStyle w:val="AllowPageBreak"/>
      </w:pPr>
    </w:p>
    <w:p w:rsidR="00000000" w:rsidRPr="0011744C" w:rsidP="0011744C">
      <w:pPr>
        <w:pStyle w:val="Heading1"/>
      </w:pPr>
      <w:bookmarkStart w:id="2" w:name="O_1054117"/>
      <w:bookmarkEnd w:id="2"/>
      <w:r w:rsidRPr="0011744C">
        <w:t>Performance Evidence</w:t>
      </w:r>
    </w:p>
    <w:p w:rsidR="00000000" w:rsidRPr="0011744C" w:rsidP="00953C79">
      <w:pPr>
        <w:pStyle w:val="BodyText"/>
      </w:pPr>
      <w:r w:rsidRPr="0011744C">
        <w:t>The candidate must demonstrate the ability to complete the tasks outlined in the elements, performance criteria and foundation skills of this unit, and to assist with:</w:t>
      </w:r>
    </w:p>
    <w:p w:rsidR="00000000" w:rsidRPr="0011744C" w:rsidP="0011744C">
      <w:pPr>
        <w:pStyle w:val="ListBullet"/>
      </w:pPr>
      <w:r w:rsidRPr="0011744C">
        <w:t>managing WHS implications of planning and implem</w:t>
      </w:r>
      <w:r w:rsidRPr="0011744C">
        <w:t>enting return to work for one injured worker, and within scope of own role:</w:t>
      </w:r>
    </w:p>
    <w:p w:rsidR="00000000" w:rsidRPr="0011744C" w:rsidP="0011744C">
      <w:pPr>
        <w:pStyle w:val="ListBullet2"/>
      </w:pPr>
      <w:r w:rsidRPr="0011744C">
        <w:t>develop return-to-work objectives for worker, in consultation with treating doctor and other medical professionals where required</w:t>
      </w:r>
    </w:p>
    <w:p w:rsidR="00000000" w:rsidRPr="0011744C" w:rsidP="0011744C">
      <w:pPr>
        <w:pStyle w:val="ListBullet2"/>
      </w:pPr>
      <w:r w:rsidRPr="0011744C">
        <w:t>identify any required job redesign and alternative duties</w:t>
      </w:r>
    </w:p>
    <w:p w:rsidR="00000000" w:rsidRPr="0011744C" w:rsidP="0011744C">
      <w:pPr>
        <w:pStyle w:val="ListBullet2"/>
      </w:pPr>
      <w:r w:rsidRPr="0011744C">
        <w:t>assess work environment for injured worker for potential hazards and associated risks</w:t>
      </w:r>
    </w:p>
    <w:p w:rsidR="00000000" w:rsidRPr="0011744C" w:rsidP="0011744C">
      <w:pPr>
        <w:pStyle w:val="ListBullet"/>
      </w:pPr>
      <w:r w:rsidRPr="0011744C">
        <w:t>monitoring and evaluating above return to work, including:</w:t>
      </w:r>
    </w:p>
    <w:p w:rsidR="00000000" w:rsidRPr="0011744C" w:rsidP="0011744C">
      <w:pPr>
        <w:pStyle w:val="ListBullet2"/>
      </w:pPr>
      <w:r w:rsidRPr="0011744C">
        <w:t>identifying and taking action to address WHS hazard</w:t>
      </w:r>
      <w:r w:rsidRPr="0011744C">
        <w:t>s and areas of non-compliance</w:t>
      </w:r>
    </w:p>
    <w:p w:rsidR="00953C79" w:rsidP="0011744C">
      <w:pPr>
        <w:pStyle w:val="ListBullet2"/>
      </w:pPr>
      <w:r w:rsidRPr="0011744C">
        <w:t>identifying areas for improvement and making recommendations for system improvement as required.</w:t>
      </w:r>
    </w:p>
    <w:p w:rsidR="00953C79" w:rsidP="0011744C">
      <w:pPr>
        <w:pStyle w:val="ListBullet2"/>
      </w:pPr>
    </w:p>
    <w:p w:rsidR="00000000" w:rsidRPr="0011744C" w:rsidP="0011744C">
      <w:pPr>
        <w:pStyle w:val="Heading1"/>
      </w:pPr>
      <w:bookmarkStart w:id="3" w:name="O_1054116"/>
      <w:bookmarkEnd w:id="3"/>
      <w:r w:rsidRPr="0011744C">
        <w:t>Knowledge Evidence</w:t>
      </w:r>
    </w:p>
    <w:p w:rsidR="00000000" w:rsidRPr="0011744C" w:rsidP="00953C79">
      <w:pPr>
        <w:pStyle w:val="BodyText"/>
      </w:pPr>
      <w:r w:rsidRPr="0011744C">
        <w:t>The candidate must demonstrate the knowledge to complete the tasks outlined in the element</w:t>
      </w:r>
      <w:r w:rsidRPr="0011744C">
        <w:t>s, performance criteria and foundation skills of this unit. This includes knowledge of:</w:t>
      </w:r>
    </w:p>
    <w:p w:rsidR="00000000" w:rsidRPr="0011744C" w:rsidP="0011744C">
      <w:pPr>
        <w:pStyle w:val="ListBullet"/>
      </w:pPr>
      <w:r w:rsidRPr="0011744C">
        <w:t>legislative requirements relating to primary duties and risk management associated with the performance evidence, including:</w:t>
      </w:r>
    </w:p>
    <w:p w:rsidR="00000000" w:rsidRPr="0011744C" w:rsidP="0011744C">
      <w:pPr>
        <w:pStyle w:val="ListBullet2"/>
      </w:pPr>
      <w:r w:rsidRPr="0011744C">
        <w:t>WHS laws</w:t>
      </w:r>
    </w:p>
    <w:p w:rsidR="00000000" w:rsidRPr="0011744C" w:rsidP="0011744C">
      <w:pPr>
        <w:pStyle w:val="ListBullet2"/>
      </w:pPr>
      <w:r w:rsidRPr="0011744C">
        <w:t>laws relating to workers’ compen</w:t>
      </w:r>
      <w:r w:rsidRPr="0011744C">
        <w:t>sation and claims management</w:t>
      </w:r>
    </w:p>
    <w:p w:rsidR="00000000" w:rsidRPr="0011744C" w:rsidP="0011744C">
      <w:pPr>
        <w:pStyle w:val="ListBullet"/>
      </w:pPr>
      <w:r w:rsidRPr="0011744C">
        <w:t>organisational policies and procedures for:</w:t>
      </w:r>
    </w:p>
    <w:p w:rsidR="00000000" w:rsidRPr="0011744C" w:rsidP="0011744C">
      <w:pPr>
        <w:pStyle w:val="ListBullet2"/>
      </w:pPr>
      <w:r w:rsidRPr="0011744C">
        <w:t>obtaining and verifying information from injured workers</w:t>
      </w:r>
    </w:p>
    <w:p w:rsidR="00000000" w:rsidRPr="0011744C" w:rsidP="0011744C">
      <w:pPr>
        <w:pStyle w:val="ListBullet2"/>
      </w:pPr>
      <w:r w:rsidRPr="0011744C">
        <w:t>facilitating injured workers’ return to work</w:t>
      </w:r>
    </w:p>
    <w:p w:rsidR="00000000" w:rsidRPr="0011744C" w:rsidP="0011744C">
      <w:pPr>
        <w:pStyle w:val="ListBullet2"/>
      </w:pPr>
      <w:r w:rsidRPr="0011744C">
        <w:t>liaising with medical professionals involved in injured workers’ return to work</w:t>
      </w:r>
    </w:p>
    <w:p w:rsidR="00000000" w:rsidRPr="0011744C" w:rsidP="0011744C">
      <w:pPr>
        <w:pStyle w:val="ListBullet2"/>
      </w:pPr>
      <w:r w:rsidRPr="0011744C">
        <w:t>assisting with designing return-to-work programs for injured workers</w:t>
      </w:r>
    </w:p>
    <w:p w:rsidR="00000000" w:rsidRPr="0011744C" w:rsidP="0011744C">
      <w:pPr>
        <w:pStyle w:val="ListBullet2"/>
      </w:pPr>
      <w:r w:rsidRPr="0011744C">
        <w:t>risk assessments of work environments</w:t>
      </w:r>
    </w:p>
    <w:p w:rsidR="00000000" w:rsidRPr="0011744C" w:rsidP="0011744C">
      <w:pPr>
        <w:pStyle w:val="ListBullet2"/>
      </w:pPr>
      <w:r w:rsidRPr="0011744C">
        <w:t>monitoring return to work and responding to hazards and areas of non-compliance</w:t>
      </w:r>
    </w:p>
    <w:p w:rsidR="00000000" w:rsidRPr="0011744C" w:rsidP="0011744C">
      <w:pPr>
        <w:pStyle w:val="ListBullet"/>
      </w:pPr>
      <w:r w:rsidRPr="0011744C">
        <w:t>key features and components of organisation’s return to work of inj</w:t>
      </w:r>
      <w:r w:rsidRPr="0011744C">
        <w:t>ured workers, including:</w:t>
      </w:r>
    </w:p>
    <w:p w:rsidR="00000000" w:rsidRPr="0011744C" w:rsidP="0011744C">
      <w:pPr>
        <w:pStyle w:val="ListBullet2"/>
      </w:pPr>
      <w:r w:rsidRPr="0011744C">
        <w:t>roles and responsibilities of all parties involved in developing, implementing and monitoring return to work</w:t>
      </w:r>
    </w:p>
    <w:p w:rsidR="00000000" w:rsidRPr="0011744C" w:rsidP="0011744C">
      <w:pPr>
        <w:pStyle w:val="ListBullet2"/>
      </w:pPr>
      <w:r w:rsidRPr="0011744C">
        <w:t>typical content of return-to-work activities</w:t>
      </w:r>
    </w:p>
    <w:p w:rsidR="00000000" w:rsidRPr="0011744C" w:rsidP="0011744C">
      <w:pPr>
        <w:pStyle w:val="ListBullet2"/>
      </w:pPr>
      <w:r w:rsidRPr="0011744C">
        <w:t>approach to hazard identification and risk assessment regarding specific fea</w:t>
      </w:r>
      <w:r w:rsidRPr="0011744C">
        <w:t>tures of return to work</w:t>
      </w:r>
    </w:p>
    <w:p w:rsidR="00000000" w:rsidRPr="0011744C" w:rsidP="0011744C">
      <w:pPr>
        <w:pStyle w:val="ListBullet"/>
      </w:pPr>
      <w:r w:rsidRPr="0011744C">
        <w:t>potential WHS-related risks to team members arising from reduced capacity and absence of returning worker in relation to:</w:t>
      </w:r>
    </w:p>
    <w:p w:rsidR="00000000" w:rsidRPr="0011744C" w:rsidP="0011744C">
      <w:pPr>
        <w:pStyle w:val="ListBullet2"/>
      </w:pPr>
      <w:r w:rsidRPr="0011744C">
        <w:t>impact on workloads</w:t>
      </w:r>
    </w:p>
    <w:p w:rsidR="00000000" w:rsidRPr="0011744C" w:rsidP="0011744C">
      <w:pPr>
        <w:pStyle w:val="ListBullet2"/>
      </w:pPr>
      <w:r w:rsidRPr="0011744C">
        <w:t>required resources and adjustments to workspaces</w:t>
      </w:r>
    </w:p>
    <w:p w:rsidR="00000000" w:rsidRPr="0011744C" w:rsidP="0011744C">
      <w:pPr>
        <w:pStyle w:val="ListBullet2"/>
      </w:pPr>
      <w:r w:rsidRPr="0011744C">
        <w:t>new hazards, or potential harm from exi</w:t>
      </w:r>
      <w:r w:rsidRPr="0011744C">
        <w:t>sting hazards</w:t>
      </w:r>
    </w:p>
    <w:p w:rsidR="00000000" w:rsidRPr="0011744C" w:rsidP="0011744C">
      <w:pPr>
        <w:pStyle w:val="ListBullet"/>
      </w:pPr>
      <w:r w:rsidRPr="0011744C">
        <w:t>roles and responsibilities of medical professionals in relation to return to work management</w:t>
      </w:r>
    </w:p>
    <w:p w:rsidR="00000000" w:rsidRPr="0011744C" w:rsidP="0011744C">
      <w:pPr>
        <w:pStyle w:val="ListBullet"/>
      </w:pPr>
      <w:r w:rsidRPr="0011744C">
        <w:t>methods, techniques and tools to support workers involved in return to work:</w:t>
      </w:r>
    </w:p>
    <w:p w:rsidR="00000000" w:rsidRPr="0011744C" w:rsidP="0011744C">
      <w:pPr>
        <w:pStyle w:val="ListBullet2"/>
      </w:pPr>
      <w:r w:rsidRPr="0011744C">
        <w:t>WHS implications of alternative duties</w:t>
      </w:r>
    </w:p>
    <w:p w:rsidR="00953C79" w:rsidP="0011744C">
      <w:pPr>
        <w:pStyle w:val="ListBullet2"/>
      </w:pPr>
      <w:r w:rsidRPr="0011744C">
        <w:t>preparing a workplace for an injured worker’s return to work.</w:t>
      </w:r>
    </w:p>
    <w:p w:rsidR="00953C79" w:rsidP="0011744C">
      <w:pPr>
        <w:pStyle w:val="ListBullet2"/>
      </w:pPr>
    </w:p>
    <w:p w:rsidR="00000000" w:rsidRPr="0011744C" w:rsidP="0011744C">
      <w:pPr>
        <w:pStyle w:val="Heading1"/>
      </w:pPr>
      <w:bookmarkStart w:id="4" w:name="O_1054115"/>
      <w:bookmarkEnd w:id="4"/>
      <w:r w:rsidRPr="0011744C">
        <w:t>Assessment Conditions</w:t>
      </w:r>
    </w:p>
    <w:p w:rsidR="00000000" w:rsidRPr="0011744C" w:rsidP="00953C79">
      <w:pPr>
        <w:pStyle w:val="BodyText"/>
      </w:pPr>
      <w:r w:rsidRPr="0011744C">
        <w:t xml:space="preserve">Assessment must comply with WHS and workers’ compensation laws, legal responsibilities and duty of care required for this unit. It must be conducted in </w:t>
      </w:r>
      <w:r w:rsidRPr="0011744C">
        <w:t>a safe environment where evidence gathered demonstrates consistent performance of typical activities undertaken by individuals carrying out WHS duties in the workplace, and must include access to:</w:t>
      </w:r>
    </w:p>
    <w:p w:rsidR="00000000" w:rsidRPr="0011744C" w:rsidP="0011744C">
      <w:pPr>
        <w:pStyle w:val="ListBullet"/>
      </w:pPr>
      <w:r w:rsidRPr="0011744C">
        <w:t>workplace documentation and WHS data required to demonstra</w:t>
      </w:r>
      <w:r w:rsidRPr="0011744C">
        <w:t>te the performance evidence</w:t>
      </w:r>
    </w:p>
    <w:p w:rsidR="00000000" w:rsidRPr="0011744C" w:rsidP="0011744C">
      <w:pPr>
        <w:pStyle w:val="ListBullet"/>
      </w:pPr>
      <w:r w:rsidRPr="0011744C">
        <w:t>legislation required to assist with managing WHS implications of return to work</w:t>
      </w:r>
    </w:p>
    <w:p w:rsidR="00000000" w:rsidRPr="0011744C" w:rsidP="0011744C">
      <w:pPr>
        <w:pStyle w:val="ListBullet"/>
      </w:pPr>
      <w:r w:rsidRPr="0011744C">
        <w:t>organisational policies and procedures required to demonstrate the performance evidence</w:t>
      </w:r>
    </w:p>
    <w:p w:rsidR="00000000" w:rsidRPr="0011744C" w:rsidP="0011744C">
      <w:pPr>
        <w:pStyle w:val="ListBullet"/>
      </w:pPr>
      <w:r w:rsidRPr="0011744C">
        <w:t>workplace equipment and resources</w:t>
      </w:r>
    </w:p>
    <w:p w:rsidR="00000000" w:rsidRPr="0011744C" w:rsidP="0011744C">
      <w:pPr>
        <w:pStyle w:val="ListBullet"/>
      </w:pPr>
      <w:r w:rsidRPr="0011744C">
        <w:t>case studies and, where po</w:t>
      </w:r>
      <w:r w:rsidRPr="0011744C">
        <w:t>ssible, real situations</w:t>
      </w:r>
    </w:p>
    <w:p w:rsidR="00000000" w:rsidRPr="0011744C" w:rsidP="0011744C">
      <w:pPr>
        <w:pStyle w:val="ListBullet"/>
      </w:pPr>
      <w:r w:rsidRPr="0011744C">
        <w:t>opportunities for interaction with others.</w:t>
      </w:r>
    </w:p>
    <w:p w:rsidR="00000000" w:rsidRPr="0011744C" w:rsidP="0011744C">
      <w:pPr>
        <w:pStyle w:val="BodyText"/>
      </w:pPr>
    </w:p>
    <w:p w:rsidR="00000000" w:rsidRPr="0011744C" w:rsidP="00953C79">
      <w:pPr>
        <w:pStyle w:val="BodyText"/>
      </w:pPr>
      <w:r w:rsidRPr="0011744C">
        <w:t>Assessors of this unit must satisfy the assessor requirements in applicable vocational education and training legislation, frameworks and/or standards.</w:t>
      </w:r>
    </w:p>
    <w:p w:rsidR="00000000" w:rsidRPr="0011744C" w:rsidP="0011744C">
      <w:pPr>
        <w:pStyle w:val="Heading1"/>
      </w:pPr>
      <w:bookmarkStart w:id="5" w:name="O_1054113"/>
      <w:bookmarkEnd w:id="5"/>
      <w:r w:rsidRPr="0011744C">
        <w:t>Links</w:t>
      </w:r>
    </w:p>
    <w:p w:rsidR="00000000" w:rsidRPr="0011744C" w:rsidP="00953C79">
      <w:pPr>
        <w:pStyle w:val="BodyText"/>
      </w:pPr>
      <w:r w:rsidRPr="0011744C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A3FC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1744C" w:rsidP="0011744C"/>
    <w:sectPr w:rsidSect="001174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4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44C" w:rsidRPr="00953C79" w:rsidP="00953C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4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C79" w:rsidP="001174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53C79" w:rsidP="001174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53C79" w:rsidP="001174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4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C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744C" w:rsidRPr="00953C79" w:rsidP="00953C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4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C79" w:rsidRPr="002D2AF8" w:rsidP="001174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BSBWHS417 Assist with managing WHS implications of return to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953C79" w:rsidP="001174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516B4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4E53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4CF8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74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74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74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74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74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74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74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74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74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74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74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744C"/>
  </w:style>
  <w:style w:type="character" w:customStyle="1" w:styleId="Heading1Char">
    <w:name w:val="Heading 1 Char"/>
    <w:basedOn w:val="DefaultParagraphFont"/>
    <w:link w:val="Heading1"/>
    <w:rsid w:val="001174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74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74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744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744C"/>
    <w:rPr>
      <w:b/>
      <w:spacing w:val="0"/>
    </w:rPr>
  </w:style>
  <w:style w:type="paragraph" w:styleId="ListBullet2">
    <w:name w:val="List Bullet 2"/>
    <w:basedOn w:val="List2"/>
    <w:rsid w:val="0011744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174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74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74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74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74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74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74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74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74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74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74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74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74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74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74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74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74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74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74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74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74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74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74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74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74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174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74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74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74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74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74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74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74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74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744C"/>
    <w:rPr>
      <w:i/>
    </w:rPr>
  </w:style>
  <w:style w:type="paragraph" w:styleId="Caption">
    <w:name w:val="caption"/>
    <w:basedOn w:val="BodyText"/>
    <w:next w:val="Normal"/>
    <w:qFormat/>
    <w:rsid w:val="001174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74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74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744C"/>
  </w:style>
  <w:style w:type="paragraph" w:styleId="TableofFigures">
    <w:name w:val="table of figures"/>
    <w:basedOn w:val="Normal"/>
    <w:next w:val="Normal"/>
    <w:semiHidden/>
    <w:rsid w:val="001174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744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1744C"/>
    <w:rPr>
      <w:rFonts w:ascii="Wingdings" w:hAnsi="Wingdings"/>
    </w:rPr>
  </w:style>
  <w:style w:type="paragraph" w:customStyle="1" w:styleId="TableHeading">
    <w:name w:val="Table Heading"/>
    <w:basedOn w:val="HeadingBase"/>
    <w:rsid w:val="001174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744C"/>
    <w:rPr>
      <w:color w:val="0033CC"/>
      <w:u w:val="none"/>
    </w:rPr>
  </w:style>
  <w:style w:type="paragraph" w:customStyle="1" w:styleId="BodyTextRight">
    <w:name w:val="Body Text Right"/>
    <w:basedOn w:val="BodyText"/>
    <w:rsid w:val="001174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74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744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74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74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74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744C"/>
    <w:rPr>
      <w:sz w:val="32"/>
    </w:rPr>
  </w:style>
  <w:style w:type="paragraph" w:customStyle="1" w:styleId="HeadingProcedure">
    <w:name w:val="Heading Procedure"/>
    <w:basedOn w:val="HeadingBase"/>
    <w:next w:val="Normal"/>
    <w:rsid w:val="001174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744C"/>
    <w:pPr>
      <w:spacing w:before="60" w:after="60"/>
    </w:pPr>
  </w:style>
  <w:style w:type="paragraph" w:styleId="ListContinue">
    <w:name w:val="List Continue"/>
    <w:basedOn w:val="List"/>
    <w:rsid w:val="0011744C"/>
    <w:pPr>
      <w:ind w:firstLine="0"/>
    </w:pPr>
  </w:style>
  <w:style w:type="paragraph" w:customStyle="1" w:styleId="ListNote">
    <w:name w:val="List Note"/>
    <w:basedOn w:val="List"/>
    <w:rsid w:val="001174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74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74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744C"/>
    <w:rPr>
      <w:rFonts w:ascii="Courier New" w:hAnsi="Courier New"/>
    </w:rPr>
  </w:style>
  <w:style w:type="paragraph" w:customStyle="1" w:styleId="NoteBullet">
    <w:name w:val="Note Bullet"/>
    <w:basedOn w:val="Note"/>
    <w:rsid w:val="001174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74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74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74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744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174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74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744C"/>
    <w:rPr>
      <w:b/>
      <w:smallCaps/>
    </w:rPr>
  </w:style>
  <w:style w:type="paragraph" w:customStyle="1" w:styleId="TableListNumber">
    <w:name w:val="Table List Number"/>
    <w:basedOn w:val="ListNumber"/>
    <w:rsid w:val="001174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74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744C"/>
    <w:pPr>
      <w:numPr>
        <w:numId w:val="9"/>
      </w:numPr>
    </w:pPr>
  </w:style>
  <w:style w:type="paragraph" w:customStyle="1" w:styleId="ListAlpha2">
    <w:name w:val="List Alpha 2"/>
    <w:basedOn w:val="List2"/>
    <w:rsid w:val="0011744C"/>
    <w:pPr>
      <w:numPr>
        <w:numId w:val="8"/>
      </w:numPr>
    </w:pPr>
  </w:style>
  <w:style w:type="paragraph" w:styleId="List2">
    <w:name w:val="List 2"/>
    <w:basedOn w:val="BodyText"/>
    <w:rsid w:val="001174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74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74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74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744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744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1744C"/>
    <w:pPr>
      <w:numPr>
        <w:numId w:val="4"/>
      </w:numPr>
    </w:pPr>
  </w:style>
  <w:style w:type="paragraph" w:styleId="ListContinue2">
    <w:name w:val="List Continue 2"/>
    <w:basedOn w:val="List2"/>
    <w:rsid w:val="0011744C"/>
    <w:pPr>
      <w:ind w:firstLine="0"/>
    </w:pPr>
  </w:style>
  <w:style w:type="paragraph" w:styleId="ListContinue3">
    <w:name w:val="List Continue 3"/>
    <w:basedOn w:val="List3"/>
    <w:rsid w:val="0011744C"/>
    <w:pPr>
      <w:ind w:left="1021" w:firstLine="0"/>
    </w:pPr>
  </w:style>
  <w:style w:type="paragraph" w:styleId="ListContinue4">
    <w:name w:val="List Continue 4"/>
    <w:basedOn w:val="List4"/>
    <w:rsid w:val="0011744C"/>
    <w:pPr>
      <w:ind w:firstLine="0"/>
    </w:pPr>
  </w:style>
  <w:style w:type="paragraph" w:styleId="ListContinue5">
    <w:name w:val="List Continue 5"/>
    <w:basedOn w:val="List5"/>
    <w:rsid w:val="0011744C"/>
    <w:pPr>
      <w:ind w:firstLine="0"/>
    </w:pPr>
  </w:style>
  <w:style w:type="paragraph" w:styleId="ListNumber3">
    <w:name w:val="List Number 3"/>
    <w:basedOn w:val="List3"/>
    <w:rsid w:val="0011744C"/>
    <w:pPr>
      <w:numPr>
        <w:numId w:val="5"/>
      </w:numPr>
    </w:pPr>
  </w:style>
  <w:style w:type="paragraph" w:styleId="ListNumber4">
    <w:name w:val="List Number 4"/>
    <w:basedOn w:val="List4"/>
    <w:rsid w:val="0011744C"/>
    <w:pPr>
      <w:numPr>
        <w:numId w:val="6"/>
      </w:numPr>
    </w:pPr>
  </w:style>
  <w:style w:type="paragraph" w:styleId="ListNumber5">
    <w:name w:val="List Number 5"/>
    <w:basedOn w:val="List5"/>
    <w:rsid w:val="0011744C"/>
    <w:pPr>
      <w:numPr>
        <w:numId w:val="7"/>
      </w:numPr>
    </w:pPr>
  </w:style>
  <w:style w:type="paragraph" w:styleId="BlockText">
    <w:name w:val="Block Text"/>
    <w:basedOn w:val="Normal"/>
    <w:rsid w:val="001174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74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744C"/>
    <w:rPr>
      <w:sz w:val="16"/>
      <w:vertAlign w:val="superscript"/>
    </w:rPr>
  </w:style>
  <w:style w:type="character" w:customStyle="1" w:styleId="Symbols">
    <w:name w:val="Symbols"/>
    <w:basedOn w:val="DefaultParagraphFont"/>
    <w:rsid w:val="0011744C"/>
    <w:rPr>
      <w:rFonts w:ascii="Symbol" w:hAnsi="Symbol"/>
    </w:rPr>
  </w:style>
  <w:style w:type="character" w:customStyle="1" w:styleId="MenuOptions">
    <w:name w:val="Menu Options"/>
    <w:basedOn w:val="DefaultParagraphFont"/>
    <w:rsid w:val="001174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744C"/>
    <w:rPr>
      <w:b/>
    </w:rPr>
  </w:style>
  <w:style w:type="character" w:customStyle="1" w:styleId="Underlined">
    <w:name w:val="Underlined"/>
    <w:basedOn w:val="DefaultParagraphFont"/>
    <w:rsid w:val="0011744C"/>
    <w:rPr>
      <w:u w:val="single"/>
    </w:rPr>
  </w:style>
  <w:style w:type="paragraph" w:customStyle="1" w:styleId="TableBodyTextRight">
    <w:name w:val="Table Body Text Right"/>
    <w:basedOn w:val="TableBodyText"/>
    <w:rsid w:val="001174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744C"/>
    <w:rPr>
      <w:sz w:val="18"/>
    </w:rPr>
  </w:style>
  <w:style w:type="paragraph" w:customStyle="1" w:styleId="BodySmallRight">
    <w:name w:val="Body Small Right"/>
    <w:basedOn w:val="BodyTextRight"/>
    <w:rsid w:val="0011744C"/>
    <w:rPr>
      <w:sz w:val="18"/>
      <w:szCs w:val="18"/>
    </w:rPr>
  </w:style>
  <w:style w:type="paragraph" w:customStyle="1" w:styleId="MarginEdition">
    <w:name w:val="Margin Edition"/>
    <w:basedOn w:val="MarginNote"/>
    <w:rsid w:val="001174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744C"/>
    <w:rPr>
      <w:sz w:val="2"/>
      <w:szCs w:val="2"/>
    </w:rPr>
  </w:style>
  <w:style w:type="character" w:customStyle="1" w:styleId="Small">
    <w:name w:val="Small"/>
    <w:basedOn w:val="DefaultParagraphFont"/>
    <w:rsid w:val="0011744C"/>
    <w:rPr>
      <w:sz w:val="16"/>
    </w:rPr>
  </w:style>
  <w:style w:type="paragraph" w:customStyle="1" w:styleId="WideTable">
    <w:name w:val="Wide Table"/>
    <w:basedOn w:val="Normal"/>
    <w:rsid w:val="001174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744C"/>
  </w:style>
  <w:style w:type="paragraph" w:styleId="Quote">
    <w:name w:val="Quote"/>
    <w:basedOn w:val="Heading1"/>
    <w:link w:val="QuoteChar"/>
    <w:qFormat/>
    <w:rsid w:val="001174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74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744C"/>
    <w:pPr>
      <w:pageBreakBefore/>
    </w:pPr>
  </w:style>
  <w:style w:type="paragraph" w:customStyle="1" w:styleId="Border">
    <w:name w:val="Border"/>
    <w:basedOn w:val="Normal"/>
    <w:qFormat/>
    <w:rsid w:val="001174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74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74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74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74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74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74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74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74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744C"/>
    <w:rPr>
      <w:u w:val="single"/>
    </w:rPr>
  </w:style>
  <w:style w:type="character" w:customStyle="1" w:styleId="BoldandItalics">
    <w:name w:val="Bold and Italics"/>
    <w:qFormat/>
    <w:rsid w:val="0011744C"/>
    <w:rPr>
      <w:b/>
      <w:i/>
      <w:u w:val="none"/>
    </w:rPr>
  </w:style>
  <w:style w:type="paragraph" w:styleId="BalloonText">
    <w:name w:val="Balloon Text"/>
    <w:basedOn w:val="Normal"/>
    <w:link w:val="BalloonTextChar"/>
    <w:rsid w:val="001174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74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74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74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74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74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744C"/>
    <w:pPr>
      <w:spacing w:before="0" w:after="0"/>
    </w:pPr>
  </w:style>
  <w:style w:type="paragraph" w:customStyle="1" w:styleId="BodyTextBold">
    <w:name w:val="Body Text Bold"/>
    <w:basedOn w:val="BodyText"/>
    <w:qFormat/>
    <w:rsid w:val="0011744C"/>
    <w:rPr>
      <w:b/>
    </w:rPr>
  </w:style>
  <w:style w:type="character" w:styleId="Hyperlink">
    <w:name w:val="Hyperlink"/>
    <w:basedOn w:val="DefaultParagraphFont"/>
    <w:uiPriority w:val="99"/>
    <w:unhideWhenUsed/>
    <w:rsid w:val="00953C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542</Words>
  <Characters>3520</Characters>
  <Application>Microsoft Office Word</Application>
  <DocSecurity>0</DocSecurity>
  <Lines>83</Lines>
  <Paragraphs>61</Paragraphs>
  <ScaleCrop>false</ScaleCrop>
  <Company>Author-it Software Corporation Ltd.</Company>
  <LinksUpToDate>false</LinksUpToDate>
  <CharactersWithSpaces>4001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BSBWHS417 Assist with managing WHS implications of return to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2022-01-25T01:21:00Z</dcterms:created>
  <dcterms:modified xsi:type="dcterms:W3CDTF">2022-01-25T01:21:00Z</dcterms:modified>
</cp:coreProperties>
</file>