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039E" w:rsidP="00A9039E">
      <w:pPr>
        <w:pStyle w:val="Title"/>
      </w:pPr>
      <w:r>
        <w:fldChar w:fldCharType="begin"/>
      </w:r>
      <w:r>
        <w:instrText xml:space="preserve"> TITLE   \* MERGEFORMAT </w:instrText>
      </w:r>
      <w:r>
        <w:fldChar w:fldCharType="separate"/>
      </w:r>
      <w:r>
        <w:t>BSBWHS411 Implement and monitor WHS policies, procedures and programs</w:t>
      </w:r>
      <w:r>
        <w:fldChar w:fldCharType="end"/>
      </w:r>
    </w:p>
    <w:p w:rsidR="00A9039E" w:rsidP="00A9039E">
      <w:pPr>
        <w:pStyle w:val="Version"/>
        <w:sectPr w:rsidSect="00DF2E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2E35" w:rsidP="00DF2E35">
      <w:pPr>
        <w:pStyle w:val="SuperHeading"/>
      </w:pPr>
      <w:r w:rsidRPr="00DF2E35">
        <w:t>BSBWHS411 Implement and monitor WHS policies, procedures and programs</w:t>
      </w:r>
    </w:p>
    <w:p w:rsidR="00000000" w:rsidRPr="00DF2E35" w:rsidP="00DF2E35">
      <w:pPr>
        <w:pStyle w:val="Heading1"/>
      </w:pPr>
      <w:bookmarkStart w:id="1" w:name="O_1127693"/>
      <w:bookmarkEnd w:id="1"/>
      <w:r w:rsidRPr="00DF2E35">
        <w:t>Modification History</w:t>
      </w:r>
    </w:p>
    <w:tbl>
      <w:tblPr>
        <w:tblW w:w="9274" w:type="dxa"/>
        <w:tblLayout w:type="fixed"/>
        <w:tblCellMar>
          <w:left w:w="62" w:type="dxa"/>
          <w:right w:w="62" w:type="dxa"/>
        </w:tblCellMar>
        <w:tblLook w:val="0000"/>
      </w:tblPr>
      <w:tblGrid>
        <w:gridCol w:w="3111"/>
        <w:gridCol w:w="6163"/>
      </w:tblGrid>
      <w:tr w:rsidTr="00DF2E35">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F2E35" w:rsidP="00DF2E35">
            <w:pPr>
              <w:pStyle w:val="BodyText"/>
            </w:pPr>
            <w:r w:rsidRPr="00DF2E35">
              <w:rPr>
                <w:rStyle w:val="SpecialBold"/>
              </w:rPr>
              <w:t>Release</w:t>
            </w:r>
            <w:r w:rsidRPr="00DF2E35">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F2E35">
            <w:pPr>
              <w:pStyle w:val="BodyText"/>
              <w:rPr>
                <w:lang w:val="en-NZ"/>
              </w:rPr>
            </w:pPr>
            <w:r w:rsidRPr="00DF2E35">
              <w:rPr>
                <w:rStyle w:val="SpecialBold"/>
              </w:rPr>
              <w:t>Comments</w:t>
            </w:r>
            <w:r w:rsidRPr="00DF2E35">
              <w:t> </w:t>
            </w:r>
          </w:p>
        </w:tc>
      </w:tr>
      <w:tr w:rsidTr="00DF2E35">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DF2E35">
            <w:pPr>
              <w:pStyle w:val="BodyText"/>
              <w:rPr>
                <w:lang w:val="en-NZ"/>
              </w:rPr>
            </w:pPr>
            <w:r w:rsidRPr="00DF2E35">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DF2E35" w:rsidP="00DF2E35">
            <w:pPr>
              <w:pStyle w:val="BodyText"/>
            </w:pPr>
            <w:r w:rsidRPr="00DF2E35">
              <w:t>This version first released with BSB Business Services Training Package Version 7.0.</w:t>
            </w:r>
          </w:p>
        </w:tc>
      </w:tr>
    </w:tbl>
    <w:p w:rsidR="00000000" w:rsidRPr="00DF2E35" w:rsidP="00DF2E35">
      <w:pPr>
        <w:pStyle w:val="BodyText"/>
      </w:pPr>
    </w:p>
    <w:p w:rsidR="00000000" w:rsidRPr="00DF2E35" w:rsidP="00DF2E35">
      <w:pPr>
        <w:pStyle w:val="AllowPageBreak"/>
      </w:pPr>
    </w:p>
    <w:p w:rsidR="00000000" w:rsidRPr="00DF2E35" w:rsidP="00DF2E35">
      <w:pPr>
        <w:pStyle w:val="Heading1"/>
      </w:pPr>
      <w:bookmarkStart w:id="2" w:name="O_1127698"/>
      <w:bookmarkEnd w:id="2"/>
      <w:r w:rsidRPr="00DF2E35">
        <w:t>Applicati</w:t>
      </w:r>
      <w:r w:rsidRPr="00DF2E35">
        <w:t>on</w:t>
      </w:r>
    </w:p>
    <w:p w:rsidR="00000000" w:rsidRPr="00DF2E35" w:rsidP="00A9039E">
      <w:pPr>
        <w:pStyle w:val="BodyText"/>
      </w:pPr>
      <w:r w:rsidRPr="00DF2E35">
        <w:t>This unit describes the skills and knowledge required to implement and monitor an organisation’s work health and safety (WHS) policies, procedures and programs in the relevant work area in order to meet legislative requirements.</w:t>
      </w:r>
    </w:p>
    <w:p w:rsidR="00000000" w:rsidRPr="00DF2E35" w:rsidP="00A9039E">
      <w:pPr>
        <w:pStyle w:val="BodyText"/>
      </w:pPr>
      <w:r w:rsidRPr="00DF2E35">
        <w:t>The unit applies to thos</w:t>
      </w:r>
      <w:r w:rsidRPr="00DF2E35">
        <w:t>e with supervisory responsibilities in a work area who have a broad knowledge of WHS policies and contribute well-developed skills in creating solutions to problems through analysis and evaluation of information from a variety of sources. They provide supe</w:t>
      </w:r>
      <w:r w:rsidRPr="00DF2E35">
        <w:t>rvision and guidance to others and have limited responsibility for the output of others.</w:t>
      </w:r>
    </w:p>
    <w:p w:rsidR="00000000" w:rsidRPr="00DF2E35" w:rsidP="00DF2E35">
      <w:pPr>
        <w:pStyle w:val="BodyTextBold"/>
      </w:pPr>
      <w:r w:rsidRPr="00DF2E35">
        <w:t>NOTES</w:t>
      </w:r>
    </w:p>
    <w:p w:rsidR="00000000" w:rsidRPr="00DF2E35" w:rsidP="00A9039E">
      <w:pPr>
        <w:pStyle w:val="List"/>
      </w:pPr>
      <w:r w:rsidRPr="00DF2E35">
        <w:t>1.</w:t>
      </w:r>
      <w:r>
        <w:tab/>
      </w:r>
      <w:r w:rsidRPr="00DF2E35">
        <w:t>The terms ‘occupational health and safety’ (OHS) and ‘work health and safety’ (WHS) are equivalent, and generally either can be used in the workplace. In jur</w:t>
      </w:r>
      <w:r w:rsidRPr="00DF2E35">
        <w:t xml:space="preserve">isdictions where </w:t>
      </w:r>
      <w:r w:rsidRPr="00DF2E35">
        <w:rPr>
          <w:rStyle w:val="Emphasis"/>
        </w:rPr>
        <w:t>model WHS laws</w:t>
      </w:r>
      <w:r w:rsidRPr="00DF2E35">
        <w:t xml:space="preserve"> have not been implemented, registered training organisations (RTOs) are advised to contextualise this unit of competency by referring to existing WHS legislative requirements.</w:t>
      </w:r>
    </w:p>
    <w:p w:rsidR="00000000" w:rsidRPr="00DF2E35" w:rsidP="00A9039E">
      <w:pPr>
        <w:pStyle w:val="List"/>
      </w:pPr>
      <w:r w:rsidRPr="00DF2E35">
        <w:t>2.</w:t>
      </w:r>
      <w:r>
        <w:tab/>
      </w:r>
      <w:r w:rsidRPr="00DF2E35">
        <w:t xml:space="preserve">The </w:t>
      </w:r>
      <w:r w:rsidRPr="00DF2E35">
        <w:rPr>
          <w:rStyle w:val="Emphasis"/>
        </w:rPr>
        <w:t>model WHS laws</w:t>
      </w:r>
      <w:r w:rsidRPr="00DF2E35">
        <w:t xml:space="preserve"> include the model WHS Act,</w:t>
      </w:r>
      <w:r w:rsidRPr="00DF2E35">
        <w:t xml:space="preserve"> model WHS Regulations and model WHS Codes of Practice. See Safe Work Australia for further information.</w:t>
      </w:r>
    </w:p>
    <w:p w:rsidR="00000000" w:rsidRPr="00DF2E35" w:rsidP="00DF2E35">
      <w:pPr>
        <w:pStyle w:val="BodyText"/>
      </w:pPr>
    </w:p>
    <w:p w:rsidR="00000000" w:rsidRPr="00DF2E35" w:rsidP="00A9039E">
      <w:pPr>
        <w:pStyle w:val="BodyText"/>
      </w:pPr>
      <w:r w:rsidRPr="00DF2E35">
        <w:t>No licensing, legislative or certification requirements apply to this unit at the time of publication.</w:t>
      </w:r>
    </w:p>
    <w:p w:rsidR="00000000" w:rsidRPr="00DF2E35" w:rsidP="00DF2E35">
      <w:pPr>
        <w:pStyle w:val="Heading1"/>
      </w:pPr>
      <w:bookmarkStart w:id="3" w:name="O_1127697"/>
      <w:bookmarkEnd w:id="3"/>
      <w:r w:rsidRPr="00DF2E35">
        <w:t>Unit Sector</w:t>
      </w:r>
    </w:p>
    <w:p w:rsidR="00000000" w:rsidRPr="00DF2E35" w:rsidP="00A9039E">
      <w:pPr>
        <w:pStyle w:val="BodyText"/>
      </w:pPr>
      <w:r w:rsidRPr="00DF2E35">
        <w:t>Regulation, Licensing and Risk – Work Health and Safety</w:t>
      </w:r>
    </w:p>
    <w:p w:rsidR="00000000" w:rsidRPr="00DF2E35" w:rsidP="00DF2E35">
      <w:pPr>
        <w:pStyle w:val="Heading1"/>
      </w:pPr>
      <w:bookmarkStart w:id="4" w:name="O_1127696"/>
      <w:bookmarkEnd w:id="4"/>
      <w:r w:rsidRPr="00DF2E35">
        <w:t>Elements and Performance Criteria</w:t>
      </w:r>
    </w:p>
    <w:tbl>
      <w:tblPr>
        <w:tblW w:w="9288" w:type="dxa"/>
        <w:tblLayout w:type="fixed"/>
        <w:tblCellMar>
          <w:left w:w="62" w:type="dxa"/>
          <w:right w:w="62" w:type="dxa"/>
        </w:tblCellMar>
        <w:tblLook w:val="0000"/>
      </w:tblPr>
      <w:tblGrid>
        <w:gridCol w:w="2606"/>
        <w:gridCol w:w="6682"/>
      </w:tblGrid>
      <w:tr w:rsidTr="00DF2E35">
        <w:tblPrEx>
          <w:tblW w:w="9288" w:type="dxa"/>
          <w:tblLayout w:type="fixed"/>
          <w:tblCellMar>
            <w:left w:w="62" w:type="dxa"/>
            <w:right w:w="62" w:type="dxa"/>
          </w:tblCellMar>
          <w:tblLook w:val="0000"/>
        </w:tblPrEx>
        <w:trPr>
          <w:tblHeader/>
        </w:trPr>
        <w:tc>
          <w:tcPr>
            <w:tcW w:w="260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F2E35" w:rsidP="00DF2E35">
            <w:pPr>
              <w:pStyle w:val="BodyText"/>
            </w:pPr>
            <w:r w:rsidRPr="00DF2E35">
              <w:rPr>
                <w:rStyle w:val="SpecialBold"/>
              </w:rPr>
              <w:t>ELEMENTS</w:t>
            </w:r>
          </w:p>
        </w:tc>
        <w:tc>
          <w:tcPr>
            <w:tcW w:w="66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F2E35">
            <w:pPr>
              <w:pStyle w:val="BodyText"/>
              <w:rPr>
                <w:lang w:val="en-NZ"/>
              </w:rPr>
            </w:pPr>
            <w:r w:rsidRPr="00DF2E35">
              <w:rPr>
                <w:rStyle w:val="SpecialBold"/>
              </w:rPr>
              <w:t>PERFORMANCE CRITERIA</w:t>
            </w:r>
          </w:p>
        </w:tc>
      </w:tr>
      <w:tr w:rsidTr="00DF2E35">
        <w:tblPrEx>
          <w:tblW w:w="9288" w:type="dxa"/>
          <w:tblLayout w:type="fixed"/>
          <w:tblCellMar>
            <w:left w:w="62" w:type="dxa"/>
            <w:right w:w="62" w:type="dxa"/>
          </w:tblCellMar>
          <w:tblLook w:val="0000"/>
        </w:tblPrEx>
        <w:tc>
          <w:tcPr>
            <w:tcW w:w="260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F2E35" w:rsidP="00DF2E35">
            <w:pPr>
              <w:pStyle w:val="BodyText"/>
            </w:pPr>
            <w:r w:rsidRPr="00DF2E35">
              <w:rPr>
                <w:rStyle w:val="Emphasis"/>
              </w:rPr>
              <w:t>Elements describe the essential outcomes.</w:t>
            </w:r>
          </w:p>
        </w:tc>
        <w:tc>
          <w:tcPr>
            <w:tcW w:w="66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F2E35">
            <w:pPr>
              <w:pStyle w:val="BodyText"/>
              <w:rPr>
                <w:lang w:val="en-NZ"/>
              </w:rPr>
            </w:pPr>
            <w:r w:rsidRPr="00DF2E35">
              <w:rPr>
                <w:rStyle w:val="Emphasis"/>
              </w:rPr>
              <w:t>Performance criteria describe the performance needed to demonstrate achiev</w:t>
            </w:r>
            <w:r w:rsidRPr="00DF2E35">
              <w:rPr>
                <w:rStyle w:val="Emphasis"/>
              </w:rPr>
              <w:t>ement of the element.</w:t>
            </w:r>
          </w:p>
        </w:tc>
      </w:tr>
      <w:tr w:rsidTr="00DF2E35">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5">
            <w:pPr>
              <w:pStyle w:val="List"/>
              <w:rPr>
                <w:lang w:val="en-NZ"/>
              </w:rPr>
            </w:pPr>
            <w:r w:rsidRPr="00DF2E35">
              <w:t>1. Provide information to work team about WHS policies and procedures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E35" w:rsidP="00DF2E35">
            <w:pPr>
              <w:pStyle w:val="List"/>
            </w:pPr>
            <w:r w:rsidRPr="00DF2E35">
              <w:t>1.1 Identify and communicate relevant provisions about WHS laws to work team</w:t>
            </w:r>
          </w:p>
          <w:p w:rsidR="00000000" w:rsidRPr="00DF2E35" w:rsidP="00DF2E35">
            <w:pPr>
              <w:pStyle w:val="List"/>
            </w:pPr>
            <w:r w:rsidRPr="00DF2E35">
              <w:t>1.2 Provide information about organisation’s WHS policies, procedures and programs, an</w:t>
            </w:r>
            <w:r w:rsidRPr="00DF2E35">
              <w:t>d ensure it is readily accessible to work team</w:t>
            </w:r>
          </w:p>
          <w:p w:rsidR="00000000" w:rsidP="00DF2E35">
            <w:pPr>
              <w:pStyle w:val="List"/>
              <w:rPr>
                <w:lang w:val="en-NZ"/>
              </w:rPr>
            </w:pPr>
            <w:r w:rsidRPr="00DF2E35">
              <w:t>1.3 Communicate information about identified hazards and outcomes of risk assessment and control to work team</w:t>
            </w:r>
          </w:p>
        </w:tc>
      </w:tr>
      <w:tr w:rsidTr="00DF2E35">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5">
            <w:pPr>
              <w:pStyle w:val="List"/>
              <w:rPr>
                <w:lang w:val="en-NZ"/>
              </w:rPr>
            </w:pPr>
            <w:r w:rsidRPr="00DF2E35">
              <w:t>2. Implement and monitor work team consultative arrangements for managing WHS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E35" w:rsidP="00DF2E35">
            <w:pPr>
              <w:pStyle w:val="List"/>
            </w:pPr>
            <w:r w:rsidRPr="00DF2E35">
              <w:t>2.1 Communicate importance of consultation mechanisms in managing WHS risks to work team</w:t>
            </w:r>
          </w:p>
          <w:p w:rsidR="00000000" w:rsidRPr="00DF2E35" w:rsidP="00DF2E35">
            <w:pPr>
              <w:pStyle w:val="List"/>
            </w:pPr>
            <w:r w:rsidRPr="00DF2E35">
              <w:t>2.2 Apply consultation mechanisms to facilitate work team participation in managing work area hazards, according to organisational policies and procedures</w:t>
            </w:r>
          </w:p>
          <w:p w:rsidR="00000000" w:rsidRPr="00DF2E35" w:rsidP="00DF2E35">
            <w:pPr>
              <w:pStyle w:val="List"/>
            </w:pPr>
            <w:r w:rsidRPr="00DF2E35">
              <w:t>2.3 Contribu</w:t>
            </w:r>
            <w:r w:rsidRPr="00DF2E35">
              <w:t>te to managing issues raised through consultation mechanisms, according to organisational consultation procedures and WHS legislative requirements</w:t>
            </w:r>
          </w:p>
          <w:p w:rsidR="00000000" w:rsidP="00DF2E35">
            <w:pPr>
              <w:pStyle w:val="List"/>
              <w:rPr>
                <w:lang w:val="en-NZ"/>
              </w:rPr>
            </w:pPr>
            <w:r w:rsidRPr="00DF2E35">
              <w:t>2.4 Communicate outcomes of consultation about WHS issues to work team</w:t>
            </w:r>
          </w:p>
        </w:tc>
      </w:tr>
      <w:tr w:rsidTr="00DF2E35">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5">
            <w:pPr>
              <w:pStyle w:val="List"/>
              <w:rPr>
                <w:lang w:val="en-NZ"/>
              </w:rPr>
            </w:pPr>
            <w:r w:rsidRPr="00DF2E35">
              <w:t>3. Implement and monitor organisation</w:t>
            </w:r>
            <w:r w:rsidRPr="00DF2E35">
              <w:t>al procedures for providing WHS training to work team</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E35" w:rsidP="00DF2E35">
            <w:pPr>
              <w:pStyle w:val="List"/>
            </w:pPr>
            <w:r w:rsidRPr="00DF2E35">
              <w:t>3.1 Identify and document team WHS training needs according to organisational requirements and WHS laws</w:t>
            </w:r>
          </w:p>
          <w:p w:rsidR="00000000" w:rsidRPr="00DF2E35" w:rsidP="00DF2E35">
            <w:pPr>
              <w:pStyle w:val="List"/>
            </w:pPr>
            <w:r w:rsidRPr="00DF2E35">
              <w:t>3.2 Make arrangements to meet WHS training needs of team members in consultation with relevant sta</w:t>
            </w:r>
            <w:r w:rsidRPr="00DF2E35">
              <w:t>keholders</w:t>
            </w:r>
          </w:p>
          <w:p w:rsidR="00000000" w:rsidP="00DF2E35">
            <w:pPr>
              <w:pStyle w:val="List"/>
              <w:rPr>
                <w:lang w:val="en-NZ"/>
              </w:rPr>
            </w:pPr>
            <w:r w:rsidRPr="00DF2E35">
              <w:t>3.3 Provide workplace learning opportunities to facilitate team and individual achievement of identified WHS training needs</w:t>
            </w:r>
          </w:p>
        </w:tc>
      </w:tr>
      <w:tr w:rsidTr="00DF2E35">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5">
            <w:pPr>
              <w:pStyle w:val="List"/>
              <w:rPr>
                <w:lang w:val="en-NZ"/>
              </w:rPr>
            </w:pPr>
            <w:r w:rsidRPr="00DF2E35">
              <w:t>4. Implement and monitor organisational procedures and legal requirements for identifying hazards, and assessing and cont</w:t>
            </w:r>
            <w:r w:rsidRPr="00DF2E35">
              <w:t>rolling risks</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E35" w:rsidP="00DF2E35">
            <w:pPr>
              <w:pStyle w:val="List"/>
            </w:pPr>
            <w:r w:rsidRPr="00DF2E35">
              <w:t>4.1 Identify and report on hazards in work area according to organisational policies and procedures, and WHS legislative requirements</w:t>
            </w:r>
          </w:p>
          <w:p w:rsidR="00000000" w:rsidRPr="00DF2E35" w:rsidP="00DF2E35">
            <w:pPr>
              <w:pStyle w:val="List"/>
            </w:pPr>
            <w:r w:rsidRPr="00DF2E35">
              <w:t>4.2 Contribute to managing and implementing hazard reports according to organisational policies and procedur</w:t>
            </w:r>
            <w:r w:rsidRPr="00DF2E35">
              <w:t>es, and WHS legislative requirements</w:t>
            </w:r>
          </w:p>
          <w:p w:rsidR="00000000" w:rsidRPr="00DF2E35" w:rsidP="00DF2E35">
            <w:pPr>
              <w:pStyle w:val="List"/>
            </w:pPr>
            <w:r w:rsidRPr="00DF2E35">
              <w:t>4.3 Implement procedures to control risks using the hierarchy of control measures according to organisational policies and procedures, and WHS legislative requirements</w:t>
            </w:r>
          </w:p>
          <w:p w:rsidR="00000000" w:rsidRPr="00DF2E35" w:rsidP="00DF2E35">
            <w:pPr>
              <w:pStyle w:val="List"/>
            </w:pPr>
            <w:r w:rsidRPr="00DF2E35">
              <w:t>4.4 Identify and report inadequacies in existing ri</w:t>
            </w:r>
            <w:r w:rsidRPr="00DF2E35">
              <w:t>sk controls according to the hierarchy of control measures, and WHS legislative requirements</w:t>
            </w:r>
          </w:p>
          <w:p w:rsidR="00000000" w:rsidP="00DF2E35">
            <w:pPr>
              <w:pStyle w:val="List"/>
              <w:rPr>
                <w:lang w:val="en-NZ"/>
              </w:rPr>
            </w:pPr>
            <w:r w:rsidRPr="00DF2E35">
              <w:t>4.5 Monitor outcomes of reports on inadequacies, as required, to ensure prompt organisational response</w:t>
            </w:r>
          </w:p>
        </w:tc>
      </w:tr>
      <w:tr w:rsidTr="00DF2E35">
        <w:tblPrEx>
          <w:tblW w:w="9288" w:type="dxa"/>
          <w:tblLayout w:type="fixed"/>
          <w:tblCellMar>
            <w:left w:w="62" w:type="dxa"/>
            <w:right w:w="62" w:type="dxa"/>
          </w:tblCellMar>
          <w:tblLook w:val="0000"/>
        </w:tblPrEx>
        <w:tc>
          <w:tcPr>
            <w:tcW w:w="2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5">
            <w:pPr>
              <w:pStyle w:val="List"/>
              <w:rPr>
                <w:lang w:val="en-NZ"/>
              </w:rPr>
            </w:pPr>
            <w:r w:rsidRPr="00DF2E35">
              <w:t>5. Implement and monitor organisational procedures for main</w:t>
            </w:r>
            <w:r w:rsidRPr="00DF2E35">
              <w:t xml:space="preserve">taining WHS records </w:t>
            </w:r>
          </w:p>
        </w:tc>
        <w:tc>
          <w:tcPr>
            <w:tcW w:w="66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E35" w:rsidP="00DF2E35">
            <w:pPr>
              <w:pStyle w:val="List"/>
            </w:pPr>
            <w:r w:rsidRPr="00DF2E35">
              <w:t>5.1 Complete and maintain WHS incident records of occupational injury and disease in work area according to organisational policies and procedures, and WHS legislative requirements</w:t>
            </w:r>
          </w:p>
          <w:p w:rsidR="00000000" w:rsidRPr="00DF2E35" w:rsidP="00DF2E35">
            <w:pPr>
              <w:pStyle w:val="List"/>
            </w:pPr>
            <w:r w:rsidRPr="00DF2E35">
              <w:t>5.2 Use aggregate information and data from work area records to meet organisational recordkeeping requirements</w:t>
            </w:r>
          </w:p>
        </w:tc>
      </w:tr>
    </w:tbl>
    <w:p w:rsidR="00000000" w:rsidRPr="00DF2E35" w:rsidP="00DF2E35">
      <w:pPr>
        <w:pStyle w:val="BodyText"/>
      </w:pPr>
    </w:p>
    <w:p w:rsidR="00000000" w:rsidRPr="00DF2E35" w:rsidP="00DF2E35">
      <w:pPr>
        <w:pStyle w:val="AllowPageBreak"/>
      </w:pPr>
    </w:p>
    <w:p w:rsidR="00000000" w:rsidRPr="00DF2E35" w:rsidP="00DF2E35">
      <w:pPr>
        <w:pStyle w:val="Heading1"/>
      </w:pPr>
      <w:bookmarkStart w:id="5" w:name="O_1127695"/>
      <w:bookmarkEnd w:id="5"/>
      <w:r w:rsidRPr="00DF2E35">
        <w:t>Foundation Skills</w:t>
      </w:r>
    </w:p>
    <w:p w:rsidR="00000000" w:rsidRPr="00A9039E" w:rsidP="00A9039E">
      <w:pPr>
        <w:pStyle w:val="BodyText"/>
        <w:rPr>
          <w:i/>
        </w:rPr>
      </w:pPr>
      <w:r w:rsidRPr="00A9039E">
        <w:rPr>
          <w:rStyle w:val="Emphasis"/>
        </w:rPr>
        <w:t>This section describes those language, literacy, numeracy and employment skills that are essential to per</w:t>
      </w:r>
      <w:r w:rsidRPr="00A9039E">
        <w:rPr>
          <w:rStyle w:val="Emphasis"/>
        </w:rPr>
        <w:t>formance but not explicit in the performance criteria.</w:t>
      </w:r>
    </w:p>
    <w:tbl>
      <w:tblPr>
        <w:tblW w:w="9288" w:type="dxa"/>
        <w:tblLayout w:type="fixed"/>
        <w:tblCellMar>
          <w:left w:w="62" w:type="dxa"/>
          <w:right w:w="62" w:type="dxa"/>
        </w:tblCellMar>
        <w:tblLook w:val="0000"/>
      </w:tblPr>
      <w:tblGrid>
        <w:gridCol w:w="1999"/>
        <w:gridCol w:w="7289"/>
      </w:tblGrid>
      <w:tr w:rsidTr="00DF2E35">
        <w:tblPrEx>
          <w:tblW w:w="9288" w:type="dxa"/>
          <w:tblLayout w:type="fixed"/>
          <w:tblCellMar>
            <w:left w:w="62" w:type="dxa"/>
            <w:right w:w="62" w:type="dxa"/>
          </w:tblCellMar>
          <w:tblLook w:val="0000"/>
        </w:tblPrEx>
        <w:trPr>
          <w:tblHeader/>
        </w:trPr>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E35" w:rsidP="00DF2E35">
            <w:pPr>
              <w:pStyle w:val="BodyTextBold"/>
            </w:pPr>
            <w:r w:rsidRPr="00DF2E35">
              <w:rPr>
                <w:rStyle w:val="SpecialBold"/>
              </w:rPr>
              <w:t>Skill</w:t>
            </w:r>
          </w:p>
        </w:tc>
        <w:tc>
          <w:tcPr>
            <w:tcW w:w="7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5">
            <w:pPr>
              <w:pStyle w:val="BodyTextBold"/>
              <w:rPr>
                <w:lang w:val="en-NZ"/>
              </w:rPr>
            </w:pPr>
            <w:r w:rsidRPr="00DF2E35">
              <w:rPr>
                <w:rStyle w:val="SpecialBold"/>
              </w:rPr>
              <w:t>Description</w:t>
            </w:r>
          </w:p>
        </w:tc>
      </w:tr>
      <w:tr w:rsidTr="00DF2E35">
        <w:tblPrEx>
          <w:tblW w:w="9288"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5">
            <w:pPr>
              <w:pStyle w:val="BodyText"/>
              <w:rPr>
                <w:lang w:val="en-NZ"/>
              </w:rPr>
            </w:pPr>
            <w:r w:rsidRPr="00DF2E35">
              <w:t>Reading</w:t>
            </w:r>
          </w:p>
        </w:tc>
        <w:tc>
          <w:tcPr>
            <w:tcW w:w="7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5">
            <w:pPr>
              <w:pStyle w:val="ListBullet"/>
              <w:rPr>
                <w:lang w:val="en-NZ"/>
              </w:rPr>
            </w:pPr>
            <w:r w:rsidRPr="00DF2E35">
              <w:t>Interprets and analyses WHS laws and organisational texts</w:t>
            </w:r>
          </w:p>
        </w:tc>
      </w:tr>
      <w:tr w:rsidTr="00DF2E35">
        <w:tblPrEx>
          <w:tblW w:w="9288"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5">
            <w:pPr>
              <w:pStyle w:val="BodyText"/>
              <w:rPr>
                <w:lang w:val="en-NZ"/>
              </w:rPr>
            </w:pPr>
            <w:r w:rsidRPr="00DF2E35">
              <w:t>Writing</w:t>
            </w:r>
          </w:p>
        </w:tc>
        <w:tc>
          <w:tcPr>
            <w:tcW w:w="7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E35" w:rsidP="00DF2E35">
            <w:pPr>
              <w:pStyle w:val="ListBullet"/>
            </w:pPr>
            <w:r w:rsidRPr="00DF2E35">
              <w:t xml:space="preserve">Documents organisational WHS policies, procedures and programs according to WHS laws, using structure, </w:t>
            </w:r>
            <w:r w:rsidRPr="00DF2E35">
              <w:t>layout and language suitable for audience</w:t>
            </w:r>
          </w:p>
          <w:p w:rsidR="00000000" w:rsidRPr="00DF2E35" w:rsidP="00DF2E35">
            <w:pPr>
              <w:pStyle w:val="ListBullet"/>
            </w:pPr>
            <w:r w:rsidRPr="00DF2E35">
              <w:t>Records WHS issues and actions taken according to reporting requirements</w:t>
            </w:r>
          </w:p>
          <w:p w:rsidR="00000000" w:rsidP="00DF2E35">
            <w:pPr>
              <w:pStyle w:val="ListBullet"/>
              <w:rPr>
                <w:lang w:val="en-NZ"/>
              </w:rPr>
            </w:pPr>
            <w:r w:rsidRPr="00DF2E35">
              <w:t>Prepares and maintains required records using appropriate structure and vocabulary</w:t>
            </w:r>
          </w:p>
        </w:tc>
      </w:tr>
      <w:tr w:rsidTr="00DF2E35">
        <w:tblPrEx>
          <w:tblW w:w="9288"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5">
            <w:pPr>
              <w:pStyle w:val="BodyText"/>
              <w:rPr>
                <w:lang w:val="en-NZ"/>
              </w:rPr>
            </w:pPr>
            <w:r w:rsidRPr="00DF2E35">
              <w:t>Oral communication</w:t>
            </w:r>
          </w:p>
        </w:tc>
        <w:tc>
          <w:tcPr>
            <w:tcW w:w="7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E35" w:rsidP="00DF2E35">
            <w:pPr>
              <w:pStyle w:val="ListBullet"/>
            </w:pPr>
            <w:r w:rsidRPr="00DF2E35">
              <w:t>Provides WHS organisational informati</w:t>
            </w:r>
            <w:r w:rsidRPr="00DF2E35">
              <w:t xml:space="preserve">on and advice using structure and language suitable for audience </w:t>
            </w:r>
          </w:p>
          <w:p w:rsidR="00000000" w:rsidP="00DF2E35">
            <w:pPr>
              <w:pStyle w:val="ListBullet"/>
              <w:rPr>
                <w:lang w:val="en-NZ"/>
              </w:rPr>
            </w:pPr>
            <w:r w:rsidRPr="00DF2E35">
              <w:t>Uses questioning and active listening to clarify understanding</w:t>
            </w:r>
          </w:p>
        </w:tc>
      </w:tr>
      <w:tr w:rsidTr="00DF2E35">
        <w:tblPrEx>
          <w:tblW w:w="9288"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5">
            <w:pPr>
              <w:pStyle w:val="BodyText"/>
              <w:rPr>
                <w:lang w:val="en-NZ"/>
              </w:rPr>
            </w:pPr>
            <w:r w:rsidRPr="00DF2E35">
              <w:t>Navigate the world of work</w:t>
            </w:r>
          </w:p>
        </w:tc>
        <w:tc>
          <w:tcPr>
            <w:tcW w:w="7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E35" w:rsidP="00DF2E35">
            <w:pPr>
              <w:pStyle w:val="ListBullet"/>
            </w:pPr>
            <w:r w:rsidRPr="00DF2E35">
              <w:t>Adheres to legal and regulatory responsibilities, and organisational policies and procedures in re</w:t>
            </w:r>
            <w:r w:rsidRPr="00DF2E35">
              <w:t>lation to own WHS role and responsibilities</w:t>
            </w:r>
          </w:p>
          <w:p w:rsidR="00000000" w:rsidP="00DF2E35">
            <w:pPr>
              <w:pStyle w:val="ListBullet"/>
              <w:rPr>
                <w:lang w:val="en-NZ"/>
              </w:rPr>
            </w:pPr>
            <w:r w:rsidRPr="00DF2E35">
              <w:t>Keeps up to date on changes to WHS laws, and related organisational policies and procedures relevant to own role</w:t>
            </w:r>
          </w:p>
        </w:tc>
      </w:tr>
      <w:tr w:rsidTr="00DF2E35">
        <w:tblPrEx>
          <w:tblW w:w="9288"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5">
            <w:pPr>
              <w:pStyle w:val="BodyText"/>
              <w:rPr>
                <w:lang w:val="en-NZ"/>
              </w:rPr>
            </w:pPr>
            <w:r w:rsidRPr="00DF2E35">
              <w:t>Interact with others</w:t>
            </w:r>
          </w:p>
        </w:tc>
        <w:tc>
          <w:tcPr>
            <w:tcW w:w="7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E35" w:rsidP="00DF2E35">
            <w:pPr>
              <w:pStyle w:val="ListBullet"/>
            </w:pPr>
            <w:r w:rsidRPr="00DF2E35">
              <w:t>Selects and uses appropriate conventions and protocols to facilitate consultation and provide feedback</w:t>
            </w:r>
          </w:p>
          <w:p w:rsidR="00000000" w:rsidRPr="00DF2E35" w:rsidP="00DF2E35">
            <w:pPr>
              <w:pStyle w:val="ListBullet"/>
            </w:pPr>
            <w:r w:rsidRPr="00DF2E35">
              <w:t>Initiates and contributes to facilitating consultative role: responding, explaining, clarifying and expanding on ideas and information as required</w:t>
            </w:r>
          </w:p>
          <w:p w:rsidR="00000000" w:rsidP="00DF2E35">
            <w:pPr>
              <w:pStyle w:val="ListBullet"/>
              <w:rPr>
                <w:lang w:val="en-NZ"/>
              </w:rPr>
            </w:pPr>
            <w:r w:rsidRPr="00DF2E35">
              <w:t>Collab</w:t>
            </w:r>
            <w:r w:rsidRPr="00DF2E35">
              <w:t>orates with others to achieve individual team member and team outcomes</w:t>
            </w:r>
          </w:p>
        </w:tc>
      </w:tr>
      <w:tr w:rsidTr="00DF2E35">
        <w:tblPrEx>
          <w:tblW w:w="9288" w:type="dxa"/>
          <w:tblLayout w:type="fixed"/>
          <w:tblCellMar>
            <w:left w:w="62" w:type="dxa"/>
            <w:right w:w="62" w:type="dxa"/>
          </w:tblCellMar>
          <w:tblLook w:val="0000"/>
        </w:tblPrEx>
        <w:tc>
          <w:tcPr>
            <w:tcW w:w="1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E35">
            <w:pPr>
              <w:pStyle w:val="BodyText"/>
              <w:rPr>
                <w:lang w:val="en-NZ"/>
              </w:rPr>
            </w:pPr>
            <w:r w:rsidRPr="00DF2E35">
              <w:t>Get the work done</w:t>
            </w:r>
          </w:p>
        </w:tc>
        <w:tc>
          <w:tcPr>
            <w:tcW w:w="72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E35" w:rsidP="00DF2E35">
            <w:pPr>
              <w:pStyle w:val="ListBullet"/>
            </w:pPr>
            <w:r w:rsidRPr="00DF2E35">
              <w:t>Uses combination of logical planning and intuitive understanding of context to identify relevant information and risks, and to identify and evaluate alternative stra</w:t>
            </w:r>
            <w:r w:rsidRPr="00DF2E35">
              <w:t>tegies</w:t>
            </w:r>
          </w:p>
          <w:p w:rsidR="00000000" w:rsidRPr="00DF2E35" w:rsidP="00DF2E35">
            <w:pPr>
              <w:pStyle w:val="ListBullet"/>
            </w:pPr>
            <w:r w:rsidRPr="00DF2E35">
              <w:t>Uses decision-making processes: sets and clarifies goals, gathers information, and identifies and evaluates choices against a set of criteria</w:t>
            </w:r>
          </w:p>
          <w:p w:rsidR="00000000" w:rsidRPr="00DF2E35" w:rsidP="00DF2E35">
            <w:pPr>
              <w:pStyle w:val="ListBullet"/>
            </w:pPr>
            <w:r w:rsidRPr="00DF2E35">
              <w:t>Takes responsibility for reporting WHS risk control inadequacies</w:t>
            </w:r>
          </w:p>
          <w:p w:rsidR="00000000" w:rsidRPr="00DF2E35" w:rsidP="00DF2E35">
            <w:pPr>
              <w:pStyle w:val="ListBullet"/>
            </w:pPr>
            <w:r w:rsidRPr="00DF2E35">
              <w:t>Uses processes to monitor implementation o</w:t>
            </w:r>
            <w:r w:rsidRPr="00DF2E35">
              <w:t>f WHS organisational procedures</w:t>
            </w:r>
          </w:p>
        </w:tc>
      </w:tr>
    </w:tbl>
    <w:p w:rsidR="00000000" w:rsidRPr="00DF2E35" w:rsidP="00DF2E35">
      <w:pPr>
        <w:pStyle w:val="BodyText"/>
      </w:pPr>
    </w:p>
    <w:p w:rsidR="00000000" w:rsidRPr="00DF2E35" w:rsidP="00DF2E35">
      <w:pPr>
        <w:pStyle w:val="AllowPageBreak"/>
      </w:pPr>
    </w:p>
    <w:p w:rsidR="00000000" w:rsidRPr="00DF2E35" w:rsidP="00DF2E35">
      <w:pPr>
        <w:pStyle w:val="Heading1"/>
      </w:pPr>
      <w:bookmarkStart w:id="6" w:name="O_1127694"/>
      <w:bookmarkEnd w:id="6"/>
      <w:r w:rsidRPr="00DF2E35">
        <w:t>Unit Mapping Information</w:t>
      </w:r>
    </w:p>
    <w:p w:rsidR="00000000" w:rsidRPr="00DF2E35" w:rsidP="00A9039E">
      <w:pPr>
        <w:pStyle w:val="BodyText"/>
      </w:pPr>
      <w:r w:rsidRPr="00DF2E35">
        <w:t>Supersedes and is equivalent to BSBWHS401 Implement and monitor WHS policies, procedures and programs to meet legislative requirements.</w:t>
      </w:r>
    </w:p>
    <w:p w:rsidR="00000000" w:rsidRPr="00DF2E35" w:rsidP="00DF2E35">
      <w:pPr>
        <w:pStyle w:val="Heading1"/>
      </w:pPr>
      <w:bookmarkStart w:id="7" w:name="O_1127687"/>
      <w:bookmarkEnd w:id="7"/>
      <w:r w:rsidRPr="00DF2E35">
        <w:t>Links</w:t>
      </w:r>
    </w:p>
    <w:p w:rsidR="00000000" w:rsidRPr="00DF2E35" w:rsidP="00A9039E">
      <w:pPr>
        <w:pStyle w:val="BodyText"/>
      </w:pPr>
      <w:r w:rsidRPr="00DF2E35">
        <w:t xml:space="preserve">Companion Volume Implementation Guide is found on VETNet - </w:t>
      </w:r>
      <w:r>
        <w:fldChar w:fldCharType="begin"/>
      </w:r>
      <w:r>
        <w:instrText xml:space="preserve"> HYPERLINK "https://vetnet.gov.au/Pages/TrainingDocs.aspx?q=11ef6853-ceed-4ba7-9d87-4da407e23c10" </w:instrText>
      </w:r>
      <w:r>
        <w:fldChar w:fldCharType="separate"/>
      </w:r>
      <w:r w:rsidRPr="00B4763F">
        <w:rPr>
          <w:rStyle w:val="Hyperlink"/>
        </w:rPr>
        <w:t>https://vetnet.gov.au/Pages/TrainingDocs.aspx?q=11ef6853-ceed-4ba7-9d87-4da407e23c10</w:t>
      </w:r>
      <w:r>
        <w:fldChar w:fldCharType="end"/>
      </w:r>
    </w:p>
    <w:p w:rsidR="00000000" w:rsidRPr="00DF2E35" w:rsidP="00DF2E35"/>
    <w:sectPr w:rsidSect="00DF2E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E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E35" w:rsidRPr="00A9039E" w:rsidP="00A903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E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39E" w:rsidP="00DF2E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9039E" w:rsidP="00DF2E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9039E" w:rsidP="00DF2E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E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3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2E35" w:rsidRPr="00A9039E" w:rsidP="00A903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E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39E" w:rsidRPr="002D2AF8" w:rsidP="00DF2E35">
    <w:pPr>
      <w:pStyle w:val="Header"/>
      <w:framePr w:wrap="around"/>
    </w:pPr>
    <w:r>
      <w:fldChar w:fldCharType="begin"/>
    </w:r>
    <w:r>
      <w:instrText xml:space="preserve"> TITLE   \* MERGEFORMAT </w:instrText>
    </w:r>
    <w:r>
      <w:fldChar w:fldCharType="separate"/>
    </w:r>
    <w:r>
      <w:t>BSBWHS411 Implement and monitor WHS policies, procedures and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A9039E" w:rsidP="00DF2E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1CD6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C265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E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2E35"/>
    <w:pPr>
      <w:spacing w:before="360" w:after="60"/>
      <w:outlineLvl w:val="0"/>
    </w:pPr>
    <w:rPr>
      <w:sz w:val="32"/>
    </w:rPr>
  </w:style>
  <w:style w:type="paragraph" w:styleId="Heading2">
    <w:name w:val="heading 2"/>
    <w:basedOn w:val="HeadingBase"/>
    <w:next w:val="BodyText"/>
    <w:link w:val="Heading2Char"/>
    <w:qFormat/>
    <w:rsid w:val="00DF2E35"/>
    <w:pPr>
      <w:keepLines/>
      <w:spacing w:before="240" w:after="120"/>
      <w:outlineLvl w:val="1"/>
    </w:pPr>
    <w:rPr>
      <w:sz w:val="28"/>
      <w:szCs w:val="40"/>
    </w:rPr>
  </w:style>
  <w:style w:type="paragraph" w:styleId="Heading3">
    <w:name w:val="heading 3"/>
    <w:basedOn w:val="HeadingBase"/>
    <w:next w:val="BodyText"/>
    <w:link w:val="Heading3Char"/>
    <w:qFormat/>
    <w:rsid w:val="00DF2E35"/>
    <w:pPr>
      <w:spacing w:before="180" w:after="120"/>
      <w:outlineLvl w:val="2"/>
    </w:pPr>
    <w:rPr>
      <w:spacing w:val="-10"/>
      <w:kern w:val="32"/>
    </w:rPr>
  </w:style>
  <w:style w:type="paragraph" w:styleId="Heading4">
    <w:name w:val="heading 4"/>
    <w:basedOn w:val="HeadingBase"/>
    <w:next w:val="BodyText"/>
    <w:link w:val="Heading4Char"/>
    <w:qFormat/>
    <w:rsid w:val="00DF2E35"/>
    <w:pPr>
      <w:spacing w:before="160" w:after="120"/>
      <w:outlineLvl w:val="3"/>
    </w:pPr>
    <w:rPr>
      <w:sz w:val="22"/>
    </w:rPr>
  </w:style>
  <w:style w:type="paragraph" w:styleId="Heading5">
    <w:name w:val="heading 5"/>
    <w:basedOn w:val="HeadingBase"/>
    <w:next w:val="Normal"/>
    <w:link w:val="Heading5Char"/>
    <w:qFormat/>
    <w:rsid w:val="00DF2E35"/>
    <w:pPr>
      <w:spacing w:before="80"/>
      <w:outlineLvl w:val="4"/>
    </w:pPr>
    <w:rPr>
      <w:color w:val="918585"/>
      <w:sz w:val="20"/>
    </w:rPr>
  </w:style>
  <w:style w:type="paragraph" w:styleId="Heading6">
    <w:name w:val="heading 6"/>
    <w:basedOn w:val="HeadingBase"/>
    <w:next w:val="Normal"/>
    <w:link w:val="Heading6Char"/>
    <w:qFormat/>
    <w:rsid w:val="00DF2E35"/>
    <w:pPr>
      <w:spacing w:before="60"/>
      <w:outlineLvl w:val="5"/>
    </w:pPr>
    <w:rPr>
      <w:color w:val="918585"/>
      <w:sz w:val="20"/>
    </w:rPr>
  </w:style>
  <w:style w:type="paragraph" w:styleId="Heading7">
    <w:name w:val="heading 7"/>
    <w:basedOn w:val="Normal"/>
    <w:next w:val="Normal"/>
    <w:link w:val="Heading7Char"/>
    <w:qFormat/>
    <w:rsid w:val="00DF2E35"/>
    <w:pPr>
      <w:ind w:left="720"/>
      <w:outlineLvl w:val="6"/>
    </w:pPr>
    <w:rPr>
      <w:i/>
    </w:rPr>
  </w:style>
  <w:style w:type="paragraph" w:styleId="Heading8">
    <w:name w:val="heading 8"/>
    <w:basedOn w:val="Normal"/>
    <w:next w:val="Normal"/>
    <w:link w:val="Heading8Char"/>
    <w:qFormat/>
    <w:rsid w:val="00DF2E35"/>
    <w:pPr>
      <w:ind w:left="720"/>
      <w:outlineLvl w:val="7"/>
    </w:pPr>
    <w:rPr>
      <w:i/>
    </w:rPr>
  </w:style>
  <w:style w:type="paragraph" w:styleId="Heading9">
    <w:name w:val="heading 9"/>
    <w:basedOn w:val="Normal"/>
    <w:next w:val="Normal"/>
    <w:link w:val="Heading9Char"/>
    <w:qFormat/>
    <w:rsid w:val="00DF2E35"/>
    <w:pPr>
      <w:ind w:left="720"/>
      <w:outlineLvl w:val="8"/>
    </w:pPr>
    <w:rPr>
      <w:i/>
    </w:rPr>
  </w:style>
  <w:style w:type="character" w:default="1" w:styleId="DefaultParagraphFont">
    <w:name w:val="Default Paragraph Font"/>
    <w:uiPriority w:val="1"/>
    <w:unhideWhenUsed/>
    <w:rsid w:val="00DF2E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2E35"/>
  </w:style>
  <w:style w:type="character" w:customStyle="1" w:styleId="Heading1Char">
    <w:name w:val="Heading 1 Char"/>
    <w:basedOn w:val="DefaultParagraphFont"/>
    <w:link w:val="Heading1"/>
    <w:rsid w:val="00DF2E35"/>
    <w:rPr>
      <w:rFonts w:ascii="Times New Roman" w:eastAsia="Times New Roman" w:hAnsi="Times New Roman" w:cs="Times New Roman"/>
      <w:b/>
      <w:sz w:val="32"/>
      <w:szCs w:val="20"/>
      <w:lang w:eastAsia="en-US"/>
    </w:rPr>
  </w:style>
  <w:style w:type="paragraph" w:styleId="BodyText">
    <w:name w:val="Body Text"/>
    <w:basedOn w:val="Normal"/>
    <w:link w:val="BodyTextChar"/>
    <w:rsid w:val="00DF2E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2E35"/>
    <w:rPr>
      <w:rFonts w:ascii="Times New Roman" w:eastAsia="Times New Roman" w:hAnsi="Times New Roman" w:cs="Times New Roman"/>
      <w:sz w:val="24"/>
      <w:lang w:eastAsia="en-US"/>
    </w:rPr>
  </w:style>
  <w:style w:type="paragraph" w:styleId="List">
    <w:name w:val="List"/>
    <w:basedOn w:val="BodyText"/>
    <w:next w:val="BodyText"/>
    <w:rsid w:val="00DF2E35"/>
    <w:pPr>
      <w:tabs>
        <w:tab w:val="left" w:pos="340"/>
      </w:tabs>
      <w:spacing w:before="60" w:after="60"/>
      <w:ind w:left="340" w:hanging="340"/>
    </w:pPr>
  </w:style>
  <w:style w:type="paragraph" w:styleId="ListBullet">
    <w:name w:val="List Bullet"/>
    <w:basedOn w:val="List"/>
    <w:rsid w:val="00DF2E35"/>
    <w:pPr>
      <w:numPr>
        <w:numId w:val="11"/>
      </w:numPr>
      <w:tabs>
        <w:tab w:val="clear" w:pos="340"/>
      </w:tabs>
      <w:spacing w:before="40" w:after="40"/>
    </w:pPr>
  </w:style>
  <w:style w:type="character" w:customStyle="1" w:styleId="SpecialBold">
    <w:name w:val="Special Bold"/>
    <w:basedOn w:val="DefaultParagraphFont"/>
    <w:rsid w:val="00DF2E35"/>
    <w:rPr>
      <w:b/>
      <w:spacing w:val="0"/>
    </w:rPr>
  </w:style>
  <w:style w:type="character" w:styleId="Emphasis">
    <w:name w:val="Emphasis"/>
    <w:basedOn w:val="DefaultParagraphFont"/>
    <w:qFormat/>
    <w:rsid w:val="00DF2E35"/>
    <w:rPr>
      <w:i/>
    </w:rPr>
  </w:style>
  <w:style w:type="paragraph" w:customStyle="1" w:styleId="SuperHeading">
    <w:name w:val="SuperHeading"/>
    <w:basedOn w:val="Normal"/>
    <w:rsid w:val="00DF2E35"/>
    <w:pPr>
      <w:spacing w:before="240" w:after="120"/>
      <w:outlineLvl w:val="0"/>
    </w:pPr>
    <w:rPr>
      <w:rFonts w:ascii="Times New Roman" w:hAnsi="Times New Roman"/>
      <w:b/>
      <w:sz w:val="32"/>
    </w:rPr>
  </w:style>
  <w:style w:type="paragraph" w:customStyle="1" w:styleId="AllowPageBreak">
    <w:name w:val="AllowPageBreak"/>
    <w:rsid w:val="00DF2E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F2E35"/>
    <w:rPr>
      <w:b/>
    </w:rPr>
  </w:style>
  <w:style w:type="character" w:customStyle="1" w:styleId="Heading2Char">
    <w:name w:val="Heading 2 Char"/>
    <w:basedOn w:val="DefaultParagraphFont"/>
    <w:link w:val="Heading2"/>
    <w:rsid w:val="00DF2E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2E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2E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2E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2E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2E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2E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2E35"/>
    <w:rPr>
      <w:rFonts w:ascii="Courier New" w:eastAsia="Times New Roman" w:hAnsi="Courier New" w:cs="Times New Roman"/>
      <w:i/>
      <w:szCs w:val="20"/>
      <w:lang w:eastAsia="en-US"/>
    </w:rPr>
  </w:style>
  <w:style w:type="paragraph" w:customStyle="1" w:styleId="HeadingBase">
    <w:name w:val="Heading Base"/>
    <w:rsid w:val="00DF2E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2E35"/>
    <w:pPr>
      <w:tabs>
        <w:tab w:val="right" w:leader="dot" w:pos="9072"/>
      </w:tabs>
      <w:ind w:left="567"/>
    </w:pPr>
    <w:rPr>
      <w:szCs w:val="22"/>
    </w:rPr>
  </w:style>
  <w:style w:type="paragraph" w:customStyle="1" w:styleId="TOCBase">
    <w:name w:val="TOC Base"/>
    <w:rsid w:val="00DF2E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2E35"/>
    <w:pPr>
      <w:tabs>
        <w:tab w:val="right" w:leader="dot" w:pos="9072"/>
      </w:tabs>
      <w:spacing w:before="40" w:after="40"/>
      <w:ind w:left="284"/>
    </w:pPr>
    <w:rPr>
      <w:rFonts w:ascii="Times New Roman" w:hAnsi="Times New Roman"/>
    </w:rPr>
  </w:style>
  <w:style w:type="paragraph" w:styleId="TOC1">
    <w:name w:val="toc 1"/>
    <w:basedOn w:val="TOCBase"/>
    <w:next w:val="Normal"/>
    <w:rsid w:val="00DF2E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2E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2E35"/>
    <w:rPr>
      <w:rFonts w:ascii="Times New Roman" w:eastAsia="Times New Roman" w:hAnsi="Times New Roman" w:cs="Times New Roman"/>
      <w:sz w:val="16"/>
      <w:lang w:eastAsia="en-US"/>
    </w:rPr>
  </w:style>
  <w:style w:type="paragraph" w:styleId="Title">
    <w:name w:val="Title"/>
    <w:basedOn w:val="HeadingBase"/>
    <w:link w:val="TitleChar"/>
    <w:qFormat/>
    <w:rsid w:val="00DF2E35"/>
    <w:pPr>
      <w:spacing w:before="5040"/>
      <w:jc w:val="center"/>
    </w:pPr>
    <w:rPr>
      <w:sz w:val="48"/>
      <w:szCs w:val="72"/>
      <w:lang w:val="en-US"/>
    </w:rPr>
  </w:style>
  <w:style w:type="character" w:customStyle="1" w:styleId="TitleChar">
    <w:name w:val="Title Char"/>
    <w:basedOn w:val="DefaultParagraphFont"/>
    <w:link w:val="Title"/>
    <w:rsid w:val="00DF2E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2E35"/>
    <w:pPr>
      <w:tabs>
        <w:tab w:val="left" w:pos="3600"/>
        <w:tab w:val="left" w:pos="3958"/>
      </w:tabs>
    </w:pPr>
  </w:style>
  <w:style w:type="paragraph" w:customStyle="1" w:styleId="Note">
    <w:name w:val="Note"/>
    <w:basedOn w:val="BodyText"/>
    <w:rsid w:val="00DF2E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2E35"/>
    <w:pPr>
      <w:framePr w:wrap="auto" w:hAnchor="text" w:y="6049"/>
    </w:pPr>
    <w:rPr>
      <w:color w:val="000000"/>
      <w:sz w:val="40"/>
    </w:rPr>
  </w:style>
  <w:style w:type="paragraph" w:customStyle="1" w:styleId="TOCTitle">
    <w:name w:val="TOCTitle"/>
    <w:basedOn w:val="Heading1"/>
    <w:rsid w:val="00DF2E35"/>
    <w:pPr>
      <w:spacing w:after="240"/>
      <w:jc w:val="center"/>
      <w:outlineLvl w:val="9"/>
    </w:pPr>
    <w:rPr>
      <w:caps/>
    </w:rPr>
  </w:style>
  <w:style w:type="paragraph" w:customStyle="1" w:styleId="Version">
    <w:name w:val="Version"/>
    <w:rsid w:val="00DF2E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2E35"/>
    <w:pPr>
      <w:numPr>
        <w:numId w:val="12"/>
      </w:numPr>
      <w:tabs>
        <w:tab w:val="clear" w:pos="680"/>
      </w:tabs>
    </w:pPr>
  </w:style>
  <w:style w:type="paragraph" w:styleId="Index1">
    <w:name w:val="index 1"/>
    <w:basedOn w:val="Normal"/>
    <w:next w:val="Normal"/>
    <w:semiHidden/>
    <w:rsid w:val="00DF2E35"/>
    <w:pPr>
      <w:keepNext w:val="0"/>
      <w:tabs>
        <w:tab w:val="right" w:pos="4176"/>
      </w:tabs>
      <w:ind w:left="198" w:hanging="198"/>
    </w:pPr>
    <w:rPr>
      <w:rFonts w:ascii="Garamond" w:hAnsi="Garamond"/>
    </w:rPr>
  </w:style>
  <w:style w:type="paragraph" w:styleId="IndexHeading">
    <w:name w:val="index heading"/>
    <w:basedOn w:val="Normal"/>
    <w:next w:val="Index1"/>
    <w:semiHidden/>
    <w:rsid w:val="00DF2E35"/>
    <w:pPr>
      <w:spacing w:before="120" w:after="120"/>
    </w:pPr>
    <w:rPr>
      <w:rFonts w:ascii="Arial" w:hAnsi="Arial"/>
      <w:b/>
      <w:color w:val="918585"/>
      <w:sz w:val="24"/>
    </w:rPr>
  </w:style>
  <w:style w:type="paragraph" w:styleId="Header">
    <w:name w:val="header"/>
    <w:basedOn w:val="Normal"/>
    <w:link w:val="HeaderChar"/>
    <w:rsid w:val="00DF2E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2E35"/>
    <w:rPr>
      <w:rFonts w:ascii="Times New Roman" w:eastAsia="Times New Roman" w:hAnsi="Times New Roman" w:cs="Times New Roman"/>
      <w:sz w:val="16"/>
      <w:szCs w:val="20"/>
      <w:lang w:val="en-GB" w:eastAsia="en-US"/>
    </w:rPr>
  </w:style>
  <w:style w:type="paragraph" w:customStyle="1" w:styleId="Chapter">
    <w:name w:val="Chapter"/>
    <w:basedOn w:val="Normal"/>
    <w:rsid w:val="00DF2E35"/>
    <w:pPr>
      <w:spacing w:before="240"/>
    </w:pPr>
    <w:rPr>
      <w:rFonts w:ascii="Times New Roman" w:hAnsi="Times New Roman"/>
      <w:smallCaps/>
      <w:spacing w:val="80"/>
      <w:sz w:val="28"/>
    </w:rPr>
  </w:style>
  <w:style w:type="paragraph" w:customStyle="1" w:styleId="InChapter">
    <w:name w:val="InChapter"/>
    <w:basedOn w:val="Heading3"/>
    <w:rsid w:val="00DF2E35"/>
    <w:pPr>
      <w:spacing w:after="240"/>
      <w:outlineLvl w:val="9"/>
    </w:pPr>
    <w:rPr>
      <w:noProof/>
    </w:rPr>
  </w:style>
  <w:style w:type="paragraph" w:styleId="Index2">
    <w:name w:val="index 2"/>
    <w:basedOn w:val="Normal"/>
    <w:next w:val="Normal"/>
    <w:semiHidden/>
    <w:rsid w:val="00DF2E35"/>
    <w:pPr>
      <w:tabs>
        <w:tab w:val="right" w:pos="4176"/>
      </w:tabs>
      <w:ind w:left="568" w:hanging="284"/>
    </w:pPr>
    <w:rPr>
      <w:rFonts w:ascii="Garamond" w:hAnsi="Garamond"/>
    </w:rPr>
  </w:style>
  <w:style w:type="paragraph" w:customStyle="1" w:styleId="Byline">
    <w:name w:val="Byline"/>
    <w:rsid w:val="00DF2E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2E35"/>
    <w:pPr>
      <w:tabs>
        <w:tab w:val="clear" w:pos="3600"/>
        <w:tab w:val="clear" w:pos="3958"/>
      </w:tabs>
      <w:jc w:val="right"/>
    </w:pPr>
  </w:style>
  <w:style w:type="paragraph" w:styleId="Caption">
    <w:name w:val="caption"/>
    <w:basedOn w:val="BodyText"/>
    <w:next w:val="Normal"/>
    <w:qFormat/>
    <w:rsid w:val="00DF2E35"/>
    <w:pPr>
      <w:framePr w:w="2268" w:hSpace="181" w:vSpace="181" w:wrap="around" w:vAnchor="text" w:hAnchor="page" w:x="1135" w:y="285" w:anchorLock="1"/>
    </w:pPr>
    <w:rPr>
      <w:i/>
    </w:rPr>
  </w:style>
  <w:style w:type="paragraph" w:customStyle="1" w:styleId="MiniTOCTitle">
    <w:name w:val="MiniTOCTitle"/>
    <w:basedOn w:val="Heading4"/>
    <w:rsid w:val="00DF2E35"/>
    <w:pPr>
      <w:spacing w:before="240"/>
      <w:outlineLvl w:val="9"/>
    </w:pPr>
    <w:rPr>
      <w:noProof/>
      <w:sz w:val="24"/>
    </w:rPr>
  </w:style>
  <w:style w:type="paragraph" w:customStyle="1" w:styleId="MiniTOCItem">
    <w:name w:val="MiniTOCItem"/>
    <w:basedOn w:val="ListBullet"/>
    <w:rsid w:val="00DF2E35"/>
    <w:pPr>
      <w:numPr>
        <w:numId w:val="0"/>
      </w:numPr>
      <w:tabs>
        <w:tab w:val="right" w:leader="dot" w:pos="6521"/>
      </w:tabs>
      <w:spacing w:before="0" w:after="0"/>
    </w:pPr>
  </w:style>
  <w:style w:type="paragraph" w:customStyle="1" w:styleId="TOFTitle">
    <w:name w:val="TOFTitle"/>
    <w:basedOn w:val="TOCTitle"/>
    <w:rsid w:val="00DF2E35"/>
  </w:style>
  <w:style w:type="paragraph" w:styleId="TableofFigures">
    <w:name w:val="table of figures"/>
    <w:basedOn w:val="Normal"/>
    <w:next w:val="Normal"/>
    <w:semiHidden/>
    <w:rsid w:val="00DF2E35"/>
    <w:pPr>
      <w:tabs>
        <w:tab w:val="right" w:leader="dot" w:pos="9072"/>
      </w:tabs>
      <w:ind w:left="970" w:hanging="403"/>
    </w:pPr>
    <w:rPr>
      <w:rFonts w:ascii="Times New Roman" w:hAnsi="Times New Roman"/>
      <w:b/>
    </w:rPr>
  </w:style>
  <w:style w:type="paragraph" w:styleId="ListNumber">
    <w:name w:val="List Number"/>
    <w:basedOn w:val="List"/>
    <w:rsid w:val="00DF2E35"/>
    <w:pPr>
      <w:numPr>
        <w:numId w:val="14"/>
      </w:numPr>
      <w:tabs>
        <w:tab w:val="clear" w:pos="340"/>
      </w:tabs>
    </w:pPr>
  </w:style>
  <w:style w:type="character" w:customStyle="1" w:styleId="WingdingSymbols">
    <w:name w:val="Wingding Symbols"/>
    <w:rsid w:val="00DF2E35"/>
    <w:rPr>
      <w:rFonts w:ascii="Wingdings" w:hAnsi="Wingdings"/>
    </w:rPr>
  </w:style>
  <w:style w:type="paragraph" w:customStyle="1" w:styleId="TableHeading">
    <w:name w:val="Table Heading"/>
    <w:basedOn w:val="HeadingBase"/>
    <w:rsid w:val="00DF2E35"/>
    <w:pPr>
      <w:keepLines/>
      <w:pBdr>
        <w:bottom w:val="single" w:sz="6" w:space="1" w:color="918585"/>
      </w:pBdr>
      <w:spacing w:before="240"/>
    </w:pPr>
  </w:style>
  <w:style w:type="character" w:customStyle="1" w:styleId="HotSpot">
    <w:name w:val="HotSpot"/>
    <w:rsid w:val="00DF2E35"/>
    <w:rPr>
      <w:color w:val="0033CC"/>
      <w:u w:val="none"/>
    </w:rPr>
  </w:style>
  <w:style w:type="paragraph" w:customStyle="1" w:styleId="BodyTextRight">
    <w:name w:val="Body Text Right"/>
    <w:basedOn w:val="BodyText"/>
    <w:rsid w:val="00DF2E35"/>
    <w:pPr>
      <w:spacing w:before="0" w:after="0"/>
      <w:jc w:val="right"/>
    </w:pPr>
  </w:style>
  <w:style w:type="paragraph" w:styleId="Index3">
    <w:name w:val="index 3"/>
    <w:basedOn w:val="ListNumber2"/>
    <w:next w:val="Normal"/>
    <w:semiHidden/>
    <w:rsid w:val="00DF2E35"/>
    <w:pPr>
      <w:numPr>
        <w:numId w:val="0"/>
      </w:numPr>
      <w:tabs>
        <w:tab w:val="right" w:leader="dot" w:pos="4176"/>
      </w:tabs>
    </w:pPr>
  </w:style>
  <w:style w:type="paragraph" w:styleId="ListNumber2">
    <w:name w:val="List Number 2"/>
    <w:basedOn w:val="List2"/>
    <w:rsid w:val="00DF2E35"/>
    <w:pPr>
      <w:numPr>
        <w:numId w:val="9"/>
      </w:numPr>
      <w:tabs>
        <w:tab w:val="clear" w:pos="1060"/>
      </w:tabs>
    </w:pPr>
  </w:style>
  <w:style w:type="paragraph" w:customStyle="1" w:styleId="MarginNote">
    <w:name w:val="Margin Note"/>
    <w:basedOn w:val="BodyText"/>
    <w:rsid w:val="00DF2E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2E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2E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2E35"/>
    <w:rPr>
      <w:sz w:val="32"/>
    </w:rPr>
  </w:style>
  <w:style w:type="paragraph" w:customStyle="1" w:styleId="HeadingProcedure">
    <w:name w:val="Heading Procedure"/>
    <w:basedOn w:val="HeadingBase"/>
    <w:next w:val="Normal"/>
    <w:rsid w:val="00DF2E35"/>
    <w:pPr>
      <w:tabs>
        <w:tab w:val="left" w:pos="0"/>
      </w:tabs>
      <w:spacing w:before="120" w:after="60"/>
    </w:pPr>
    <w:rPr>
      <w:i/>
      <w:color w:val="918585"/>
      <w:sz w:val="22"/>
    </w:rPr>
  </w:style>
  <w:style w:type="paragraph" w:customStyle="1" w:styleId="TableBodyText">
    <w:name w:val="Table Body Text"/>
    <w:basedOn w:val="BodyText"/>
    <w:rsid w:val="00DF2E35"/>
    <w:pPr>
      <w:spacing w:before="60" w:after="60"/>
    </w:pPr>
  </w:style>
  <w:style w:type="paragraph" w:styleId="ListContinue">
    <w:name w:val="List Continue"/>
    <w:basedOn w:val="List"/>
    <w:rsid w:val="00DF2E35"/>
    <w:pPr>
      <w:ind w:firstLine="0"/>
    </w:pPr>
  </w:style>
  <w:style w:type="paragraph" w:customStyle="1" w:styleId="ListNote">
    <w:name w:val="List Note"/>
    <w:basedOn w:val="List"/>
    <w:rsid w:val="00DF2E35"/>
    <w:pPr>
      <w:pBdr>
        <w:top w:val="single" w:sz="6" w:space="2" w:color="918585"/>
        <w:bottom w:val="single" w:sz="6" w:space="2" w:color="918585"/>
      </w:pBdr>
      <w:tabs>
        <w:tab w:val="left" w:pos="1021"/>
      </w:tabs>
      <w:ind w:firstLine="0"/>
    </w:pPr>
  </w:style>
  <w:style w:type="paragraph" w:customStyle="1" w:styleId="Warning">
    <w:name w:val="Warning"/>
    <w:basedOn w:val="BodyText"/>
    <w:rsid w:val="00DF2E35"/>
    <w:pPr>
      <w:shd w:val="clear" w:color="auto" w:fill="D9D9D9"/>
      <w:tabs>
        <w:tab w:val="left" w:pos="992"/>
      </w:tabs>
      <w:ind w:left="119" w:right="119"/>
    </w:pPr>
    <w:rPr>
      <w:sz w:val="20"/>
    </w:rPr>
  </w:style>
  <w:style w:type="paragraph" w:customStyle="1" w:styleId="MarginIcons">
    <w:name w:val="Margin Icons"/>
    <w:basedOn w:val="BodyText"/>
    <w:rsid w:val="00DF2E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2E35"/>
    <w:rPr>
      <w:rFonts w:ascii="Courier New" w:hAnsi="Courier New"/>
    </w:rPr>
  </w:style>
  <w:style w:type="paragraph" w:customStyle="1" w:styleId="NoteBullet">
    <w:name w:val="Note Bullet"/>
    <w:basedOn w:val="Note"/>
    <w:rsid w:val="00DF2E35"/>
    <w:pPr>
      <w:tabs>
        <w:tab w:val="clear" w:pos="680"/>
      </w:tabs>
      <w:spacing w:before="60" w:after="60"/>
    </w:pPr>
  </w:style>
  <w:style w:type="paragraph" w:customStyle="1" w:styleId="SubHeading2">
    <w:name w:val="SubHeading2"/>
    <w:basedOn w:val="HeadingBase"/>
    <w:rsid w:val="00DF2E35"/>
    <w:pPr>
      <w:spacing w:before="240" w:after="60"/>
    </w:pPr>
    <w:rPr>
      <w:sz w:val="20"/>
    </w:rPr>
  </w:style>
  <w:style w:type="paragraph" w:customStyle="1" w:styleId="SubHeading1">
    <w:name w:val="SubHeading1"/>
    <w:basedOn w:val="HeadingBase"/>
    <w:rsid w:val="00DF2E35"/>
    <w:pPr>
      <w:spacing w:before="240" w:after="60"/>
    </w:pPr>
    <w:rPr>
      <w:color w:val="918585"/>
      <w:sz w:val="22"/>
    </w:rPr>
  </w:style>
  <w:style w:type="paragraph" w:customStyle="1" w:styleId="SideHeading">
    <w:name w:val="Side Heading"/>
    <w:basedOn w:val="HeadingBase"/>
    <w:rsid w:val="00DF2E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2E35"/>
    <w:pPr>
      <w:numPr>
        <w:numId w:val="10"/>
      </w:numPr>
    </w:pPr>
  </w:style>
  <w:style w:type="paragraph" w:styleId="PlainText">
    <w:name w:val="Plain Text"/>
    <w:basedOn w:val="Normal"/>
    <w:link w:val="PlainTextChar"/>
    <w:rsid w:val="00DF2E35"/>
    <w:rPr>
      <w:sz w:val="20"/>
    </w:rPr>
  </w:style>
  <w:style w:type="character" w:customStyle="1" w:styleId="PlainTextChar">
    <w:name w:val="Plain Text Char"/>
    <w:basedOn w:val="DefaultParagraphFont"/>
    <w:link w:val="PlainText"/>
    <w:rsid w:val="00DF2E35"/>
    <w:rPr>
      <w:rFonts w:ascii="Courier New" w:eastAsia="Times New Roman" w:hAnsi="Courier New" w:cs="Times New Roman"/>
      <w:sz w:val="20"/>
      <w:szCs w:val="20"/>
      <w:lang w:eastAsia="en-US"/>
    </w:rPr>
  </w:style>
  <w:style w:type="character" w:customStyle="1" w:styleId="MenuOption">
    <w:name w:val="Menu Option"/>
    <w:basedOn w:val="DefaultParagraphFont"/>
    <w:rsid w:val="00DF2E35"/>
    <w:rPr>
      <w:b/>
      <w:smallCaps/>
    </w:rPr>
  </w:style>
  <w:style w:type="paragraph" w:customStyle="1" w:styleId="TableListNumber">
    <w:name w:val="Table List Number"/>
    <w:basedOn w:val="ListNumber"/>
    <w:rsid w:val="00DF2E35"/>
    <w:pPr>
      <w:numPr>
        <w:numId w:val="0"/>
      </w:numPr>
    </w:pPr>
  </w:style>
  <w:style w:type="paragraph" w:styleId="TOC4">
    <w:name w:val="toc 4"/>
    <w:basedOn w:val="TOCBase"/>
    <w:next w:val="Normal"/>
    <w:semiHidden/>
    <w:rsid w:val="00DF2E35"/>
    <w:pPr>
      <w:tabs>
        <w:tab w:val="right" w:leader="dot" w:pos="9071"/>
      </w:tabs>
      <w:ind w:left="1701"/>
    </w:pPr>
  </w:style>
  <w:style w:type="paragraph" w:customStyle="1" w:styleId="ListAlpha">
    <w:name w:val="List Alpha"/>
    <w:basedOn w:val="List"/>
    <w:rsid w:val="00DF2E35"/>
    <w:pPr>
      <w:numPr>
        <w:numId w:val="8"/>
      </w:numPr>
    </w:pPr>
  </w:style>
  <w:style w:type="paragraph" w:customStyle="1" w:styleId="ListAlpha2">
    <w:name w:val="List Alpha 2"/>
    <w:basedOn w:val="List2"/>
    <w:rsid w:val="00DF2E35"/>
    <w:pPr>
      <w:numPr>
        <w:numId w:val="7"/>
      </w:numPr>
    </w:pPr>
  </w:style>
  <w:style w:type="paragraph" w:styleId="List2">
    <w:name w:val="List 2"/>
    <w:basedOn w:val="BodyText"/>
    <w:rsid w:val="00DF2E35"/>
    <w:pPr>
      <w:tabs>
        <w:tab w:val="left" w:pos="680"/>
      </w:tabs>
      <w:spacing w:before="60" w:after="60"/>
      <w:ind w:left="680" w:hanging="340"/>
    </w:pPr>
  </w:style>
  <w:style w:type="paragraph" w:styleId="List3">
    <w:name w:val="List 3"/>
    <w:basedOn w:val="BodyText"/>
    <w:rsid w:val="00DF2E35"/>
    <w:pPr>
      <w:tabs>
        <w:tab w:val="left" w:pos="1021"/>
      </w:tabs>
      <w:spacing w:before="60" w:after="60"/>
      <w:ind w:left="1020" w:hanging="340"/>
    </w:pPr>
  </w:style>
  <w:style w:type="paragraph" w:styleId="List4">
    <w:name w:val="List 4"/>
    <w:basedOn w:val="BodyText"/>
    <w:rsid w:val="00DF2E35"/>
    <w:pPr>
      <w:tabs>
        <w:tab w:val="left" w:pos="1361"/>
      </w:tabs>
      <w:spacing w:before="60" w:after="60"/>
      <w:ind w:left="1361" w:hanging="340"/>
    </w:pPr>
  </w:style>
  <w:style w:type="paragraph" w:styleId="List5">
    <w:name w:val="List 5"/>
    <w:basedOn w:val="BodyText"/>
    <w:rsid w:val="00DF2E35"/>
    <w:pPr>
      <w:tabs>
        <w:tab w:val="left" w:pos="1701"/>
      </w:tabs>
      <w:spacing w:before="60" w:after="60"/>
      <w:ind w:left="1701" w:hanging="340"/>
    </w:pPr>
  </w:style>
  <w:style w:type="paragraph" w:styleId="ListBullet3">
    <w:name w:val="List Bullet 3"/>
    <w:basedOn w:val="List3"/>
    <w:rsid w:val="00DF2E35"/>
    <w:pPr>
      <w:numPr>
        <w:numId w:val="13"/>
      </w:numPr>
      <w:tabs>
        <w:tab w:val="clear" w:pos="1021"/>
      </w:tabs>
      <w:ind w:left="1037" w:hanging="357"/>
    </w:pPr>
  </w:style>
  <w:style w:type="paragraph" w:styleId="ListBullet4">
    <w:name w:val="List Bullet 4"/>
    <w:basedOn w:val="List4"/>
    <w:rsid w:val="00DF2E35"/>
    <w:pPr>
      <w:numPr>
        <w:numId w:val="2"/>
      </w:numPr>
      <w:tabs>
        <w:tab w:val="clear" w:pos="1361"/>
      </w:tabs>
    </w:pPr>
  </w:style>
  <w:style w:type="paragraph" w:styleId="ListBullet5">
    <w:name w:val="List Bullet 5"/>
    <w:basedOn w:val="List5"/>
    <w:rsid w:val="00DF2E35"/>
    <w:pPr>
      <w:numPr>
        <w:numId w:val="3"/>
      </w:numPr>
    </w:pPr>
  </w:style>
  <w:style w:type="paragraph" w:styleId="ListContinue2">
    <w:name w:val="List Continue 2"/>
    <w:basedOn w:val="List2"/>
    <w:rsid w:val="00DF2E35"/>
    <w:pPr>
      <w:ind w:firstLine="0"/>
    </w:pPr>
  </w:style>
  <w:style w:type="paragraph" w:styleId="ListContinue3">
    <w:name w:val="List Continue 3"/>
    <w:basedOn w:val="List3"/>
    <w:rsid w:val="00DF2E35"/>
    <w:pPr>
      <w:ind w:left="1021" w:firstLine="0"/>
    </w:pPr>
  </w:style>
  <w:style w:type="paragraph" w:styleId="ListContinue4">
    <w:name w:val="List Continue 4"/>
    <w:basedOn w:val="List4"/>
    <w:rsid w:val="00DF2E35"/>
    <w:pPr>
      <w:ind w:firstLine="0"/>
    </w:pPr>
  </w:style>
  <w:style w:type="paragraph" w:styleId="ListContinue5">
    <w:name w:val="List Continue 5"/>
    <w:basedOn w:val="List5"/>
    <w:rsid w:val="00DF2E35"/>
    <w:pPr>
      <w:ind w:firstLine="0"/>
    </w:pPr>
  </w:style>
  <w:style w:type="paragraph" w:styleId="ListNumber3">
    <w:name w:val="List Number 3"/>
    <w:basedOn w:val="List3"/>
    <w:rsid w:val="00DF2E35"/>
    <w:pPr>
      <w:numPr>
        <w:numId w:val="4"/>
      </w:numPr>
    </w:pPr>
  </w:style>
  <w:style w:type="paragraph" w:styleId="ListNumber4">
    <w:name w:val="List Number 4"/>
    <w:basedOn w:val="List4"/>
    <w:rsid w:val="00DF2E35"/>
    <w:pPr>
      <w:numPr>
        <w:numId w:val="5"/>
      </w:numPr>
    </w:pPr>
  </w:style>
  <w:style w:type="paragraph" w:styleId="ListNumber5">
    <w:name w:val="List Number 5"/>
    <w:basedOn w:val="List5"/>
    <w:rsid w:val="00DF2E35"/>
    <w:pPr>
      <w:numPr>
        <w:numId w:val="6"/>
      </w:numPr>
    </w:pPr>
  </w:style>
  <w:style w:type="paragraph" w:styleId="BlockText">
    <w:name w:val="Block Text"/>
    <w:basedOn w:val="Normal"/>
    <w:rsid w:val="00DF2E35"/>
    <w:pPr>
      <w:spacing w:after="120"/>
      <w:ind w:left="1440" w:right="1440"/>
    </w:pPr>
  </w:style>
  <w:style w:type="character" w:customStyle="1" w:styleId="Subscript">
    <w:name w:val="Subscript"/>
    <w:basedOn w:val="DefaultParagraphFont"/>
    <w:rsid w:val="00DF2E35"/>
    <w:rPr>
      <w:sz w:val="16"/>
      <w:vertAlign w:val="subscript"/>
    </w:rPr>
  </w:style>
  <w:style w:type="character" w:customStyle="1" w:styleId="Superscript">
    <w:name w:val="Superscript"/>
    <w:basedOn w:val="DefaultParagraphFont"/>
    <w:rsid w:val="00DF2E35"/>
    <w:rPr>
      <w:sz w:val="16"/>
      <w:vertAlign w:val="superscript"/>
    </w:rPr>
  </w:style>
  <w:style w:type="character" w:customStyle="1" w:styleId="Symbols">
    <w:name w:val="Symbols"/>
    <w:basedOn w:val="DefaultParagraphFont"/>
    <w:rsid w:val="00DF2E35"/>
    <w:rPr>
      <w:rFonts w:ascii="Symbol" w:hAnsi="Symbol"/>
    </w:rPr>
  </w:style>
  <w:style w:type="character" w:customStyle="1" w:styleId="MenuOptions">
    <w:name w:val="Menu Options"/>
    <w:basedOn w:val="DefaultParagraphFont"/>
    <w:rsid w:val="00DF2E35"/>
    <w:rPr>
      <w:rFonts w:ascii="Arial Narrow" w:hAnsi="Arial Narrow"/>
      <w:smallCaps/>
    </w:rPr>
  </w:style>
  <w:style w:type="character" w:customStyle="1" w:styleId="Buttons">
    <w:name w:val="Buttons"/>
    <w:basedOn w:val="DefaultParagraphFont"/>
    <w:rsid w:val="00DF2E35"/>
    <w:rPr>
      <w:b/>
    </w:rPr>
  </w:style>
  <w:style w:type="character" w:customStyle="1" w:styleId="Underlined">
    <w:name w:val="Underlined"/>
    <w:basedOn w:val="DefaultParagraphFont"/>
    <w:rsid w:val="00DF2E35"/>
    <w:rPr>
      <w:u w:val="single"/>
    </w:rPr>
  </w:style>
  <w:style w:type="paragraph" w:customStyle="1" w:styleId="TableBodyTextRight">
    <w:name w:val="Table Body Text Right"/>
    <w:basedOn w:val="TableBodyText"/>
    <w:rsid w:val="00DF2E35"/>
    <w:pPr>
      <w:widowControl w:val="0"/>
      <w:autoSpaceDE w:val="0"/>
      <w:autoSpaceDN w:val="0"/>
      <w:adjustRightInd w:val="0"/>
      <w:jc w:val="right"/>
    </w:pPr>
    <w:rPr>
      <w:rFonts w:cs="Arial"/>
      <w:szCs w:val="18"/>
    </w:rPr>
  </w:style>
  <w:style w:type="paragraph" w:customStyle="1" w:styleId="CopyrightText">
    <w:name w:val="Copyright Text"/>
    <w:basedOn w:val="BodyText"/>
    <w:rsid w:val="00DF2E35"/>
    <w:rPr>
      <w:sz w:val="18"/>
    </w:rPr>
  </w:style>
  <w:style w:type="paragraph" w:customStyle="1" w:styleId="BodySmallRight">
    <w:name w:val="Body Small Right"/>
    <w:basedOn w:val="BodyTextRight"/>
    <w:rsid w:val="00DF2E35"/>
    <w:rPr>
      <w:sz w:val="18"/>
      <w:szCs w:val="18"/>
    </w:rPr>
  </w:style>
  <w:style w:type="paragraph" w:customStyle="1" w:styleId="MarginEdition">
    <w:name w:val="Margin Edition"/>
    <w:basedOn w:val="MarginNote"/>
    <w:rsid w:val="00DF2E35"/>
    <w:pPr>
      <w:spacing w:before="0" w:after="0"/>
    </w:pPr>
    <w:rPr>
      <w:rFonts w:ascii="Times New Roman" w:hAnsi="Times New Roman"/>
      <w:color w:val="999999"/>
    </w:rPr>
  </w:style>
  <w:style w:type="paragraph" w:customStyle="1" w:styleId="Spacer">
    <w:name w:val="Spacer"/>
    <w:basedOn w:val="Normal"/>
    <w:rsid w:val="00DF2E35"/>
    <w:rPr>
      <w:sz w:val="2"/>
      <w:szCs w:val="2"/>
    </w:rPr>
  </w:style>
  <w:style w:type="character" w:customStyle="1" w:styleId="Small">
    <w:name w:val="Small"/>
    <w:basedOn w:val="DefaultParagraphFont"/>
    <w:rsid w:val="00DF2E35"/>
    <w:rPr>
      <w:sz w:val="16"/>
    </w:rPr>
  </w:style>
  <w:style w:type="paragraph" w:customStyle="1" w:styleId="WideTable">
    <w:name w:val="Wide Table"/>
    <w:basedOn w:val="Normal"/>
    <w:rsid w:val="00DF2E35"/>
    <w:pPr>
      <w:ind w:left="-1418"/>
    </w:pPr>
    <w:rPr>
      <w:sz w:val="2"/>
      <w:szCs w:val="2"/>
    </w:rPr>
  </w:style>
  <w:style w:type="character" w:styleId="PageNumber">
    <w:name w:val="page number"/>
    <w:basedOn w:val="DefaultParagraphFont"/>
    <w:rsid w:val="00DF2E35"/>
  </w:style>
  <w:style w:type="paragraph" w:styleId="Quote">
    <w:name w:val="Quote"/>
    <w:basedOn w:val="Heading1"/>
    <w:link w:val="QuoteChar"/>
    <w:qFormat/>
    <w:rsid w:val="00DF2E35"/>
    <w:rPr>
      <w:b w:val="0"/>
      <w:sz w:val="72"/>
      <w:szCs w:val="72"/>
      <w:lang w:val="en-NZ"/>
    </w:rPr>
  </w:style>
  <w:style w:type="character" w:customStyle="1" w:styleId="QuoteChar">
    <w:name w:val="Quote Char"/>
    <w:basedOn w:val="DefaultParagraphFont"/>
    <w:link w:val="Quote"/>
    <w:rsid w:val="00DF2E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2E35"/>
    <w:pPr>
      <w:pageBreakBefore/>
    </w:pPr>
  </w:style>
  <w:style w:type="paragraph" w:customStyle="1" w:styleId="Border">
    <w:name w:val="Border"/>
    <w:basedOn w:val="Normal"/>
    <w:qFormat/>
    <w:rsid w:val="00DF2E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2E35"/>
    <w:rPr>
      <w:b/>
      <w:bCs/>
      <w:i/>
      <w:iCs/>
      <w:color w:val="auto"/>
    </w:rPr>
  </w:style>
  <w:style w:type="paragraph" w:styleId="IntenseQuote">
    <w:name w:val="Intense Quote"/>
    <w:basedOn w:val="Normal"/>
    <w:next w:val="Normal"/>
    <w:link w:val="IntenseQuoteChar"/>
    <w:uiPriority w:val="30"/>
    <w:qFormat/>
    <w:rsid w:val="00DF2E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2E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2E35"/>
    <w:rPr>
      <w:smallCaps/>
      <w:color w:val="auto"/>
      <w:u w:val="single"/>
    </w:rPr>
  </w:style>
  <w:style w:type="character" w:styleId="IntenseReference">
    <w:name w:val="Intense Reference"/>
    <w:basedOn w:val="DefaultParagraphFont"/>
    <w:uiPriority w:val="32"/>
    <w:qFormat/>
    <w:rsid w:val="00DF2E35"/>
    <w:rPr>
      <w:b/>
      <w:bCs/>
      <w:smallCaps/>
      <w:color w:val="auto"/>
      <w:spacing w:val="5"/>
      <w:u w:val="single"/>
    </w:rPr>
  </w:style>
  <w:style w:type="paragraph" w:customStyle="1" w:styleId="2ColumnHeading">
    <w:name w:val="2Column Heading"/>
    <w:basedOn w:val="BodyText"/>
    <w:qFormat/>
    <w:rsid w:val="00DF2E35"/>
    <w:pPr>
      <w:spacing w:after="60"/>
      <w:ind w:left="-2268"/>
    </w:pPr>
    <w:rPr>
      <w:b/>
    </w:rPr>
  </w:style>
  <w:style w:type="paragraph" w:customStyle="1" w:styleId="Heading1TOC">
    <w:name w:val="Heading1 TOC"/>
    <w:basedOn w:val="Normal"/>
    <w:qFormat/>
    <w:rsid w:val="00DF2E35"/>
    <w:pPr>
      <w:spacing w:before="240" w:after="120"/>
    </w:pPr>
    <w:rPr>
      <w:rFonts w:ascii="Times New Roman" w:hAnsi="Times New Roman"/>
      <w:b/>
      <w:sz w:val="32"/>
    </w:rPr>
  </w:style>
  <w:style w:type="paragraph" w:customStyle="1" w:styleId="Heading2TOC">
    <w:name w:val="Heading2 TOC"/>
    <w:basedOn w:val="Normal"/>
    <w:qFormat/>
    <w:rsid w:val="00DF2E35"/>
    <w:pPr>
      <w:spacing w:before="240" w:after="60"/>
    </w:pPr>
    <w:rPr>
      <w:rFonts w:ascii="Times New Roman" w:hAnsi="Times New Roman"/>
      <w:b/>
      <w:sz w:val="28"/>
    </w:rPr>
  </w:style>
  <w:style w:type="character" w:customStyle="1" w:styleId="Underline">
    <w:name w:val="Underline"/>
    <w:basedOn w:val="DefaultParagraphFont"/>
    <w:qFormat/>
    <w:rsid w:val="00DF2E35"/>
    <w:rPr>
      <w:u w:val="single"/>
    </w:rPr>
  </w:style>
  <w:style w:type="character" w:customStyle="1" w:styleId="BoldandItalics">
    <w:name w:val="Bold and Italics"/>
    <w:qFormat/>
    <w:rsid w:val="00DF2E35"/>
    <w:rPr>
      <w:b/>
      <w:i/>
      <w:u w:val="none"/>
    </w:rPr>
  </w:style>
  <w:style w:type="paragraph" w:styleId="BalloonText">
    <w:name w:val="Balloon Text"/>
    <w:basedOn w:val="Normal"/>
    <w:link w:val="BalloonTextChar"/>
    <w:rsid w:val="00DF2E35"/>
    <w:rPr>
      <w:rFonts w:ascii="Tahoma" w:hAnsi="Tahoma" w:cs="Tahoma"/>
      <w:sz w:val="16"/>
      <w:szCs w:val="16"/>
    </w:rPr>
  </w:style>
  <w:style w:type="character" w:customStyle="1" w:styleId="BalloonTextChar">
    <w:name w:val="Balloon Text Char"/>
    <w:basedOn w:val="DefaultParagraphFont"/>
    <w:link w:val="BalloonText"/>
    <w:rsid w:val="00DF2E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2E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2E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2E35"/>
    <w:rPr>
      <w:b/>
      <w:color w:val="660033"/>
      <w:spacing w:val="0"/>
    </w:rPr>
  </w:style>
  <w:style w:type="paragraph" w:customStyle="1" w:styleId="Nameditemlist">
    <w:name w:val="Named item list"/>
    <w:basedOn w:val="BodyText"/>
    <w:qFormat/>
    <w:rsid w:val="00DF2E35"/>
    <w:pPr>
      <w:tabs>
        <w:tab w:val="left" w:pos="2835"/>
      </w:tabs>
      <w:ind w:left="2835" w:hanging="2835"/>
    </w:pPr>
  </w:style>
  <w:style w:type="paragraph" w:customStyle="1" w:styleId="BodyTextnopadding">
    <w:name w:val="Body Text no padding"/>
    <w:basedOn w:val="BodyText"/>
    <w:qFormat/>
    <w:rsid w:val="00DF2E35"/>
    <w:pPr>
      <w:spacing w:before="0" w:after="0"/>
    </w:pPr>
  </w:style>
  <w:style w:type="character" w:styleId="Hyperlink">
    <w:name w:val="Hyperlink"/>
    <w:basedOn w:val="DefaultParagraphFont"/>
    <w:uiPriority w:val="99"/>
    <w:unhideWhenUsed/>
    <w:rsid w:val="00A903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916</Words>
  <Characters>5813</Characters>
  <Application>Microsoft Office Word</Application>
  <DocSecurity>0</DocSecurity>
  <Lines>181</Lines>
  <Paragraphs>86</Paragraphs>
  <ScaleCrop>false</ScaleCrop>
  <Company>Author-it Software Corporation Ltd.</Company>
  <LinksUpToDate>false</LinksUpToDate>
  <CharactersWithSpaces>6643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BSBWHS411 Implement and monitor WHS policies, procedures and programs</dc:title>
  <dc:subject>Approved</dc:subject>
  <dc:creator>Future Skills Organisation</dc:creator>
  <cp:keywords>Release: 1</cp:keywords>
  <dc:description>Review Date: 12 April 2008</dc:description>
  <cp:lastModifiedBy>HSD_TPCMSd.prod</cp:lastModifiedBy>
  <cp:revision>3</cp:revision>
  <dcterms:created xsi:type="dcterms:W3CDTF">2025-02-11T06:56:00Z</dcterms:created>
  <dcterms:modified xsi:type="dcterms:W3CDTF">2025-02-11T06:56:00Z</dcterms:modified>
</cp:coreProperties>
</file>