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D17" w:rsidP="00027D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BSBWHS409 Assist with workplace monitoring processes</w:t>
      </w:r>
      <w:r>
        <w:fldChar w:fldCharType="end"/>
      </w:r>
    </w:p>
    <w:p w:rsidR="00027D17" w:rsidP="00027D17">
      <w:pPr>
        <w:pStyle w:val="Version"/>
        <w:sectPr w:rsidSect="00C13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A79" w:rsidP="00C13A79">
      <w:pPr>
        <w:pStyle w:val="SuperHeading"/>
      </w:pPr>
      <w:r w:rsidRPr="00C13A79">
        <w:t>Assessment Requirements for BSBWHS409 Assist with workplace monitoring processes</w:t>
      </w:r>
    </w:p>
    <w:p w:rsidR="00000000" w:rsidRPr="00C13A79" w:rsidP="00C13A79">
      <w:pPr>
        <w:pStyle w:val="Heading1"/>
      </w:pPr>
      <w:bookmarkStart w:id="1" w:name="O_646447"/>
      <w:bookmarkEnd w:id="1"/>
      <w:r w:rsidRPr="00C13A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13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79" w:rsidP="00C13A79">
            <w:pPr>
              <w:pStyle w:val="BodyText"/>
            </w:pPr>
            <w:r w:rsidRPr="00C13A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79">
            <w:pPr>
              <w:pStyle w:val="BodyText"/>
              <w:rPr>
                <w:lang w:val="en-NZ"/>
              </w:rPr>
            </w:pPr>
            <w:r w:rsidRPr="00C13A79">
              <w:rPr>
                <w:rStyle w:val="SpecialBold"/>
              </w:rPr>
              <w:t>Comments</w:t>
            </w:r>
          </w:p>
        </w:tc>
      </w:tr>
      <w:tr w:rsidTr="00C13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79">
            <w:pPr>
              <w:pStyle w:val="BodyText"/>
              <w:rPr>
                <w:lang w:val="en-NZ"/>
              </w:rPr>
            </w:pPr>
            <w:r w:rsidRPr="00C13A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79" w:rsidP="00C13A79">
            <w:pPr>
              <w:pStyle w:val="BodyText"/>
            </w:pPr>
            <w:r w:rsidRPr="00C13A79">
              <w:t>This version first released with BSB Business Services Training Package Version 1.0.</w:t>
            </w:r>
          </w:p>
        </w:tc>
      </w:tr>
    </w:tbl>
    <w:p w:rsidR="00000000" w:rsidRPr="00C13A79" w:rsidP="00C13A79">
      <w:pPr>
        <w:pStyle w:val="BodyText"/>
      </w:pPr>
    </w:p>
    <w:p w:rsidR="00000000" w:rsidRPr="00C13A79" w:rsidP="00C13A79">
      <w:pPr>
        <w:pStyle w:val="AllowPageBreak"/>
      </w:pPr>
    </w:p>
    <w:p w:rsidR="00000000" w:rsidRPr="00C13A79" w:rsidP="00C13A79">
      <w:pPr>
        <w:pStyle w:val="Heading1"/>
      </w:pPr>
      <w:bookmarkStart w:id="2" w:name="O_646448"/>
      <w:bookmarkEnd w:id="2"/>
      <w:r w:rsidRPr="00C13A79">
        <w:t>Performance Evidence</w:t>
      </w:r>
    </w:p>
    <w:p w:rsidR="00000000" w:rsidRPr="00C13A79" w:rsidP="00027D17">
      <w:pPr>
        <w:pStyle w:val="BodyText"/>
      </w:pPr>
      <w:r w:rsidRPr="00C13A79">
        <w:t>Evidence of the ability to assist with processes for monitoring physical agents and/or conditions including:</w:t>
      </w:r>
    </w:p>
    <w:p w:rsidR="00000000" w:rsidRPr="00C13A79" w:rsidP="00C13A79">
      <w:pPr>
        <w:pStyle w:val="ListBullet"/>
      </w:pPr>
      <w:r w:rsidRPr="00C13A79">
        <w:t>identifying regulatory requirements and standards that apply to monitoring of physical agents and/or conditions relevant to w</w:t>
      </w:r>
      <w:r w:rsidRPr="00C13A79">
        <w:t xml:space="preserve">ork health and safety (WHS)  </w:t>
      </w:r>
    </w:p>
    <w:p w:rsidR="00000000" w:rsidRPr="00C13A79" w:rsidP="00C13A79">
      <w:pPr>
        <w:pStyle w:val="ListBullet"/>
      </w:pPr>
      <w:r w:rsidRPr="00C13A79">
        <w:t xml:space="preserve">identifying the context of measurements to be undertaken including: </w:t>
      </w:r>
    </w:p>
    <w:p w:rsidR="00000000" w:rsidRPr="00C13A79" w:rsidP="00C13A79">
      <w:pPr>
        <w:pStyle w:val="ListBullet2"/>
      </w:pPr>
      <w:r w:rsidRPr="00C13A79">
        <w:t>which physical agents and/or conditions will be measured and their characteristics</w:t>
      </w:r>
    </w:p>
    <w:p w:rsidR="00000000" w:rsidRPr="00C13A79" w:rsidP="00C13A79">
      <w:pPr>
        <w:pStyle w:val="ListBullet2"/>
      </w:pPr>
      <w:r w:rsidRPr="00C13A79">
        <w:t>where the measurements will be taken</w:t>
      </w:r>
    </w:p>
    <w:p w:rsidR="00000000" w:rsidRPr="00C13A79" w:rsidP="00C13A79">
      <w:pPr>
        <w:pStyle w:val="ListBullet2"/>
      </w:pPr>
      <w:r w:rsidRPr="00C13A79">
        <w:t>area or space available</w:t>
      </w:r>
    </w:p>
    <w:p w:rsidR="00000000" w:rsidRPr="00C13A79" w:rsidP="00C13A79">
      <w:pPr>
        <w:pStyle w:val="ListBullet2"/>
      </w:pPr>
      <w:r w:rsidRPr="00C13A79">
        <w:t>movements of people and equipment, tasks or activities being undertaken, number of persons occupying area and other factors that may impact on the sampling or data-collection processes</w:t>
      </w:r>
    </w:p>
    <w:p w:rsidR="00000000" w:rsidRPr="00C13A79" w:rsidP="00C13A79">
      <w:pPr>
        <w:pStyle w:val="ListBullet2"/>
      </w:pPr>
      <w:r w:rsidRPr="00C13A79">
        <w:t>physical features of equipment, such as emitting sources</w:t>
      </w:r>
    </w:p>
    <w:p w:rsidR="00000000" w:rsidRPr="00C13A79" w:rsidP="00C13A79">
      <w:pPr>
        <w:pStyle w:val="ListBullet"/>
      </w:pPr>
      <w:r w:rsidRPr="00C13A79">
        <w:t>preparing for</w:t>
      </w:r>
      <w:r w:rsidRPr="00C13A79">
        <w:t xml:space="preserve"> and collecting workplace WHS data and information including: </w:t>
      </w:r>
    </w:p>
    <w:p w:rsidR="00000000" w:rsidRPr="00C13A79" w:rsidP="00C13A79">
      <w:pPr>
        <w:pStyle w:val="ListBullet2"/>
      </w:pPr>
      <w:r w:rsidRPr="00C13A79">
        <w:t xml:space="preserve">selecting and calibrating appropriate equipment and selecting appropriate scale </w:t>
      </w:r>
    </w:p>
    <w:p w:rsidR="00000000" w:rsidRPr="00C13A79" w:rsidP="00C13A79">
      <w:pPr>
        <w:pStyle w:val="ListBullet2"/>
      </w:pPr>
      <w:r w:rsidRPr="00C13A79">
        <w:t>defining a sampling process and plan</w:t>
      </w:r>
    </w:p>
    <w:p w:rsidR="00000000" w:rsidRPr="00C13A79" w:rsidP="00C13A79">
      <w:pPr>
        <w:pStyle w:val="ListBullet2"/>
      </w:pPr>
      <w:r w:rsidRPr="00C13A79">
        <w:t>performing tests</w:t>
      </w:r>
    </w:p>
    <w:p w:rsidR="00000000" w:rsidRPr="00C13A79" w:rsidP="00C13A79">
      <w:pPr>
        <w:pStyle w:val="ListBullet2"/>
      </w:pPr>
      <w:r w:rsidRPr="00C13A79">
        <w:t>correct preparation, use, maintenance, cleaning storage a</w:t>
      </w:r>
      <w:r w:rsidRPr="00C13A79">
        <w:t>nd if required disposal of equipment</w:t>
      </w:r>
    </w:p>
    <w:p w:rsidR="00000000" w:rsidRPr="00C13A79" w:rsidP="00C13A79">
      <w:pPr>
        <w:pStyle w:val="ListBullet"/>
      </w:pPr>
      <w:r w:rsidRPr="00C13A79">
        <w:t xml:space="preserve">consultation and communication with individuals and parties about the requirements, purpose and nature of the monitoring </w:t>
      </w:r>
    </w:p>
    <w:p w:rsidR="00000000" w:rsidRPr="00C13A79" w:rsidP="00C13A79">
      <w:pPr>
        <w:pStyle w:val="ListBullet"/>
      </w:pPr>
      <w:r w:rsidRPr="00C13A79">
        <w:t>interpreting and evaluating results of monitoring including calculations using appropriate units</w:t>
      </w:r>
      <w:r w:rsidRPr="00C13A79">
        <w:t xml:space="preserve"> of measurement, logarithmic scales, decimals and order of magnitude relevant to making and interpreting measurements and measurement error</w:t>
      </w:r>
    </w:p>
    <w:p w:rsidR="00000000" w:rsidRPr="00C13A79" w:rsidP="00C13A79">
      <w:pPr>
        <w:pStyle w:val="ListBullet"/>
      </w:pPr>
      <w:r w:rsidRPr="00C13A79">
        <w:t>preparing and presenting clear and logical reports that are appropriate to purpose of report and the target audience</w:t>
      </w:r>
    </w:p>
    <w:p w:rsidR="00000000" w:rsidRPr="00C13A79" w:rsidP="00C13A79">
      <w:pPr>
        <w:pStyle w:val="ListBullet"/>
      </w:pPr>
      <w:r w:rsidRPr="00C13A79">
        <w:t>keeping records that meet regulatory requirements</w:t>
      </w:r>
    </w:p>
    <w:p w:rsidR="00000000" w:rsidRPr="00C13A79" w:rsidP="00C13A79">
      <w:pPr>
        <w:pStyle w:val="ListBullet"/>
      </w:pPr>
      <w:r w:rsidRPr="00C13A79">
        <w:t>seek expert advice, support and equipment as required.</w:t>
      </w:r>
    </w:p>
    <w:p w:rsidR="00000000" w:rsidRPr="00C13A79" w:rsidP="00C13A79">
      <w:pPr>
        <w:pStyle w:val="ListBullet"/>
      </w:pPr>
      <w:r w:rsidRPr="00C13A79">
        <w:t>ensure own safety during monitoring process.</w:t>
      </w:r>
    </w:p>
    <w:p w:rsidR="00000000" w:rsidRPr="00C13A79" w:rsidP="00C13A79">
      <w:pPr>
        <w:pStyle w:val="BodyText"/>
      </w:pPr>
    </w:p>
    <w:p w:rsidR="00000000" w:rsidRPr="00C13A79" w:rsidP="00027D17">
      <w:pPr>
        <w:pStyle w:val="BodyText"/>
      </w:pPr>
      <w:r w:rsidRPr="00C13A79">
        <w:t>Note: If a specific volume or frequency is not stated, then evidence must be provided at least once.</w:t>
      </w:r>
    </w:p>
    <w:p w:rsidR="00000000" w:rsidRPr="00C13A79" w:rsidP="00C13A79">
      <w:pPr>
        <w:pStyle w:val="Heading1"/>
      </w:pPr>
      <w:bookmarkStart w:id="3" w:name="O_646449"/>
      <w:bookmarkEnd w:id="3"/>
      <w:r w:rsidRPr="00C13A79">
        <w:t>Knowledge Evidence</w:t>
      </w:r>
    </w:p>
    <w:p w:rsidR="00000000" w:rsidRPr="00C13A79" w:rsidP="00027D17">
      <w:pPr>
        <w:pStyle w:val="BodyText"/>
      </w:pPr>
      <w:r w:rsidRPr="00C13A79">
        <w:t>To complete the unit requirements safely and effectively, the individual must:</w:t>
      </w:r>
    </w:p>
    <w:p w:rsidR="00000000" w:rsidRPr="00C13A79" w:rsidP="00C13A79">
      <w:pPr>
        <w:pStyle w:val="ListBullet"/>
      </w:pPr>
      <w:r w:rsidRPr="00C13A79">
        <w:t>list typical physical agents and/or conditions relevant to WHS including:</w:t>
      </w:r>
    </w:p>
    <w:p w:rsidR="00000000" w:rsidRPr="00C13A79" w:rsidP="00C13A79">
      <w:pPr>
        <w:pStyle w:val="ListBullet2"/>
      </w:pPr>
      <w:r w:rsidRPr="00C13A79">
        <w:t>biological agents, such as insects, mites and bacteria</w:t>
      </w:r>
    </w:p>
    <w:p w:rsidR="00000000" w:rsidRPr="00C13A79" w:rsidP="00C13A79">
      <w:pPr>
        <w:pStyle w:val="ListBullet2"/>
      </w:pPr>
      <w:r w:rsidRPr="00C13A79">
        <w:t>electricity</w:t>
      </w:r>
    </w:p>
    <w:p w:rsidR="00000000" w:rsidRPr="00C13A79" w:rsidP="00C13A79">
      <w:pPr>
        <w:pStyle w:val="ListBullet2"/>
      </w:pPr>
      <w:r w:rsidRPr="00C13A79">
        <w:t>fibres, dusts and particulates</w:t>
      </w:r>
    </w:p>
    <w:p w:rsidR="00000000" w:rsidRPr="00C13A79" w:rsidP="00C13A79">
      <w:pPr>
        <w:pStyle w:val="ListBullet2"/>
      </w:pPr>
      <w:r w:rsidRPr="00C13A79">
        <w:t>fumes, mists, gases and vapours</w:t>
      </w:r>
    </w:p>
    <w:p w:rsidR="00000000" w:rsidRPr="00C13A79" w:rsidP="00C13A79">
      <w:pPr>
        <w:pStyle w:val="ListBullet2"/>
      </w:pPr>
      <w:r w:rsidRPr="00C13A79">
        <w:t>heat and humidity</w:t>
      </w:r>
    </w:p>
    <w:p w:rsidR="00000000" w:rsidRPr="00C13A79" w:rsidP="00C13A79">
      <w:pPr>
        <w:pStyle w:val="ListBullet2"/>
      </w:pPr>
      <w:r w:rsidRPr="00C13A79">
        <w:t>light</w:t>
      </w:r>
    </w:p>
    <w:p w:rsidR="00000000" w:rsidRPr="00C13A79" w:rsidP="00C13A79">
      <w:pPr>
        <w:pStyle w:val="ListBullet2"/>
      </w:pPr>
      <w:r w:rsidRPr="00C13A79">
        <w:t>noise</w:t>
      </w:r>
    </w:p>
    <w:p w:rsidR="00000000" w:rsidRPr="00C13A79" w:rsidP="00C13A79">
      <w:pPr>
        <w:pStyle w:val="ListBullet2"/>
      </w:pPr>
      <w:r w:rsidRPr="00C13A79">
        <w:t>radiation, including ionising, non-ionising and laser</w:t>
      </w:r>
    </w:p>
    <w:p w:rsidR="00000000" w:rsidRPr="00C13A79" w:rsidP="00C13A79">
      <w:pPr>
        <w:pStyle w:val="ListBullet2"/>
      </w:pPr>
      <w:r w:rsidRPr="00C13A79">
        <w:t>vibration</w:t>
      </w:r>
    </w:p>
    <w:p w:rsidR="00000000" w:rsidRPr="00C13A79" w:rsidP="00C13A79">
      <w:pPr>
        <w:pStyle w:val="ListBullet"/>
      </w:pPr>
      <w:r w:rsidRPr="00C13A79">
        <w:t xml:space="preserve">outline aspects of WHS Acts, regulations, codes of practice and standards that are relevant </w:t>
      </w:r>
      <w:r w:rsidRPr="00C13A79">
        <w:t>to measuring physical agents and/or conditions and how they apply to the organisation</w:t>
      </w:r>
    </w:p>
    <w:p w:rsidR="00000000" w:rsidRPr="00C13A79" w:rsidP="00C13A79">
      <w:pPr>
        <w:pStyle w:val="ListBullet"/>
      </w:pPr>
      <w:r w:rsidRPr="00C13A79">
        <w:t>explain the mode of action of common physical, biological and chemical agents on the body and how they produce discomfort or harm</w:t>
      </w:r>
    </w:p>
    <w:p w:rsidR="00000000" w:rsidRPr="00C13A79" w:rsidP="00C13A79">
      <w:pPr>
        <w:pStyle w:val="ListBullet"/>
      </w:pPr>
      <w:r w:rsidRPr="00C13A79">
        <w:t>list the characteristics, mode of action</w:t>
      </w:r>
      <w:r w:rsidRPr="00C13A79">
        <w:t xml:space="preserve"> and units of measurement for major hazard types</w:t>
      </w:r>
    </w:p>
    <w:p w:rsidR="00000000" w:rsidRPr="00C13A79" w:rsidP="00C13A79">
      <w:pPr>
        <w:pStyle w:val="ListBullet"/>
      </w:pPr>
      <w:r w:rsidRPr="00C13A79">
        <w:t>describe environmental conditions that impact on measurements</w:t>
      </w:r>
    </w:p>
    <w:p w:rsidR="00000000" w:rsidRPr="00C13A79" w:rsidP="00C13A79">
      <w:pPr>
        <w:pStyle w:val="ListBullet"/>
      </w:pPr>
      <w:r w:rsidRPr="00C13A79">
        <w:t>explain types of measuring and monitoring equipment and techniques for correct and safe use including limitations on use and output, calibration,</w:t>
      </w:r>
      <w:r w:rsidRPr="00C13A79">
        <w:t xml:space="preserve"> adjustment, maintenance and any in-built alarms.</w:t>
      </w:r>
    </w:p>
    <w:p w:rsidR="00000000" w:rsidRPr="00C13A79" w:rsidP="00C13A79">
      <w:pPr>
        <w:pStyle w:val="AllowPageBreak"/>
      </w:pPr>
    </w:p>
    <w:p w:rsidR="00000000" w:rsidRPr="00C13A79" w:rsidP="00C13A79">
      <w:pPr>
        <w:pStyle w:val="Heading1"/>
      </w:pPr>
      <w:bookmarkStart w:id="4" w:name="O_646450"/>
      <w:bookmarkEnd w:id="4"/>
      <w:r w:rsidRPr="00C13A79">
        <w:t>Assessment Conditions</w:t>
      </w:r>
    </w:p>
    <w:p w:rsidR="00000000" w:rsidRPr="00C13A79" w:rsidP="00027D17">
      <w:pPr>
        <w:pStyle w:val="BodyText"/>
      </w:pPr>
      <w:r w:rsidRPr="00C13A79">
        <w:t>Assessment must be conducted in a safe environment where evidence gathered demonstrates consistent performance of typical activities experienced by individuals carryin</w:t>
      </w:r>
      <w:r w:rsidRPr="00C13A79">
        <w:t>g out work health and safety duties in the workplace and include access to:</w:t>
      </w:r>
    </w:p>
    <w:p w:rsidR="00000000" w:rsidRPr="00C13A79" w:rsidP="00C13A79">
      <w:pPr>
        <w:pStyle w:val="ListBullet"/>
      </w:pPr>
      <w:r w:rsidRPr="00C13A79">
        <w:t>measuring devices and equipment</w:t>
      </w:r>
    </w:p>
    <w:p w:rsidR="00000000" w:rsidRPr="00C13A79" w:rsidP="00C13A79">
      <w:pPr>
        <w:pStyle w:val="ListBullet"/>
      </w:pPr>
      <w:r w:rsidRPr="00C13A79">
        <w:t>office equipment and resources</w:t>
      </w:r>
    </w:p>
    <w:p w:rsidR="00000000" w:rsidRPr="00C13A79" w:rsidP="00C13A79">
      <w:pPr>
        <w:pStyle w:val="ListBullet"/>
      </w:pPr>
      <w:r w:rsidRPr="00C13A79">
        <w:t>relevant Acts, regulations, codes of practice, licensing requirements, standards</w:t>
      </w:r>
    </w:p>
    <w:p w:rsidR="00000000" w:rsidRPr="00C13A79" w:rsidP="00C13A79">
      <w:pPr>
        <w:pStyle w:val="ListBullet"/>
      </w:pPr>
      <w:r w:rsidRPr="00C13A79">
        <w:t>case studies and, where possible, r</w:t>
      </w:r>
      <w:r w:rsidRPr="00C13A79">
        <w:t>eal situations</w:t>
      </w:r>
    </w:p>
    <w:p w:rsidR="00000000" w:rsidRPr="00C13A79" w:rsidP="00C13A79">
      <w:pPr>
        <w:pStyle w:val="ListBullet"/>
      </w:pPr>
      <w:r w:rsidRPr="00C13A79">
        <w:t>interaction with others.</w:t>
      </w:r>
    </w:p>
    <w:p w:rsidR="00000000" w:rsidRPr="00C13A79" w:rsidP="00C13A79">
      <w:pPr>
        <w:pStyle w:val="BodyText"/>
      </w:pPr>
      <w:r w:rsidRPr="00C13A79">
        <w:t xml:space="preserve"> </w:t>
      </w:r>
    </w:p>
    <w:p w:rsidR="00000000" w:rsidRPr="00C13A79" w:rsidP="00027D17">
      <w:pPr>
        <w:pStyle w:val="BodyText"/>
      </w:pPr>
      <w:r w:rsidRPr="00C13A79">
        <w:t>Assessors must satisfy NVR/AQTF assessor requirements.</w:t>
      </w:r>
    </w:p>
    <w:p w:rsidR="00000000" w:rsidRPr="00C13A79" w:rsidP="00C13A79">
      <w:pPr>
        <w:pStyle w:val="Heading1"/>
      </w:pPr>
      <w:bookmarkStart w:id="5" w:name="O_646453"/>
      <w:bookmarkEnd w:id="5"/>
      <w:r w:rsidRPr="00C13A79">
        <w:t>Links</w:t>
      </w:r>
    </w:p>
    <w:p w:rsidR="00000000" w:rsidRPr="00C13A79" w:rsidP="00027D17">
      <w:pPr>
        <w:pStyle w:val="BodyText"/>
      </w:pPr>
      <w:r w:rsidRPr="00C13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57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13A79" w:rsidP="00C13A79"/>
    <w:sectPr w:rsidSect="00C13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79" w:rsidRPr="00027D17" w:rsidP="00027D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D17" w:rsidP="00C13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D17" w:rsidP="00C13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7D17" w:rsidP="00C13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D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A79" w:rsidRPr="00027D17" w:rsidP="00027D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D17" w:rsidRPr="002D2AF8" w:rsidP="00C13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BSBWHS409 Assist with workplace monitoring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027D17" w:rsidP="00C13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74E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005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A28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A79"/>
  </w:style>
  <w:style w:type="character" w:customStyle="1" w:styleId="Heading1Char">
    <w:name w:val="Heading 1 Char"/>
    <w:basedOn w:val="DefaultParagraphFont"/>
    <w:link w:val="Heading1"/>
    <w:rsid w:val="00C13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A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A79"/>
    <w:rPr>
      <w:b/>
      <w:spacing w:val="0"/>
    </w:rPr>
  </w:style>
  <w:style w:type="paragraph" w:styleId="ListBullet2">
    <w:name w:val="List Bullet 2"/>
    <w:basedOn w:val="List2"/>
    <w:rsid w:val="00C13A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3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A79"/>
    <w:rPr>
      <w:i/>
    </w:rPr>
  </w:style>
  <w:style w:type="paragraph" w:styleId="Caption">
    <w:name w:val="caption"/>
    <w:basedOn w:val="BodyText"/>
    <w:next w:val="Normal"/>
    <w:qFormat/>
    <w:rsid w:val="00C13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A79"/>
  </w:style>
  <w:style w:type="paragraph" w:styleId="TableofFigures">
    <w:name w:val="table of figures"/>
    <w:basedOn w:val="Normal"/>
    <w:next w:val="Normal"/>
    <w:semiHidden/>
    <w:rsid w:val="00C13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A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3A79"/>
    <w:rPr>
      <w:rFonts w:ascii="Wingdings" w:hAnsi="Wingdings"/>
    </w:rPr>
  </w:style>
  <w:style w:type="paragraph" w:customStyle="1" w:styleId="TableHeading">
    <w:name w:val="Table Heading"/>
    <w:basedOn w:val="HeadingBase"/>
    <w:rsid w:val="00C13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A79"/>
    <w:rPr>
      <w:color w:val="0033CC"/>
      <w:u w:val="none"/>
    </w:rPr>
  </w:style>
  <w:style w:type="paragraph" w:customStyle="1" w:styleId="BodyTextRight">
    <w:name w:val="Body Text Right"/>
    <w:basedOn w:val="BodyText"/>
    <w:rsid w:val="00C13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A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A79"/>
    <w:rPr>
      <w:sz w:val="32"/>
    </w:rPr>
  </w:style>
  <w:style w:type="paragraph" w:customStyle="1" w:styleId="HeadingProcedure">
    <w:name w:val="Heading Procedure"/>
    <w:basedOn w:val="HeadingBase"/>
    <w:next w:val="Normal"/>
    <w:rsid w:val="00C13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A79"/>
    <w:pPr>
      <w:spacing w:before="60" w:after="60"/>
    </w:pPr>
  </w:style>
  <w:style w:type="paragraph" w:styleId="ListContinue">
    <w:name w:val="List Continue"/>
    <w:basedOn w:val="List"/>
    <w:rsid w:val="00C13A79"/>
    <w:pPr>
      <w:ind w:firstLine="0"/>
    </w:pPr>
  </w:style>
  <w:style w:type="paragraph" w:customStyle="1" w:styleId="ListNote">
    <w:name w:val="List Note"/>
    <w:basedOn w:val="List"/>
    <w:rsid w:val="00C13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A79"/>
    <w:rPr>
      <w:rFonts w:ascii="Courier New" w:hAnsi="Courier New"/>
    </w:rPr>
  </w:style>
  <w:style w:type="paragraph" w:customStyle="1" w:styleId="NoteBullet">
    <w:name w:val="Note Bullet"/>
    <w:basedOn w:val="Note"/>
    <w:rsid w:val="00C13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A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3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A79"/>
    <w:rPr>
      <w:b/>
      <w:smallCaps/>
    </w:rPr>
  </w:style>
  <w:style w:type="paragraph" w:customStyle="1" w:styleId="TableListNumber">
    <w:name w:val="Table List Number"/>
    <w:basedOn w:val="ListNumber"/>
    <w:rsid w:val="00C13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A79"/>
    <w:pPr>
      <w:numPr>
        <w:numId w:val="9"/>
      </w:numPr>
    </w:pPr>
  </w:style>
  <w:style w:type="paragraph" w:customStyle="1" w:styleId="ListAlpha2">
    <w:name w:val="List Alpha 2"/>
    <w:basedOn w:val="List2"/>
    <w:rsid w:val="00C13A79"/>
    <w:pPr>
      <w:numPr>
        <w:numId w:val="8"/>
      </w:numPr>
    </w:pPr>
  </w:style>
  <w:style w:type="paragraph" w:styleId="List2">
    <w:name w:val="List 2"/>
    <w:basedOn w:val="BodyText"/>
    <w:rsid w:val="00C13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A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A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3A79"/>
    <w:pPr>
      <w:numPr>
        <w:numId w:val="4"/>
      </w:numPr>
    </w:pPr>
  </w:style>
  <w:style w:type="paragraph" w:styleId="ListContinue2">
    <w:name w:val="List Continue 2"/>
    <w:basedOn w:val="List2"/>
    <w:rsid w:val="00C13A79"/>
    <w:pPr>
      <w:ind w:firstLine="0"/>
    </w:pPr>
  </w:style>
  <w:style w:type="paragraph" w:styleId="ListContinue3">
    <w:name w:val="List Continue 3"/>
    <w:basedOn w:val="List3"/>
    <w:rsid w:val="00C13A79"/>
    <w:pPr>
      <w:ind w:left="1021" w:firstLine="0"/>
    </w:pPr>
  </w:style>
  <w:style w:type="paragraph" w:styleId="ListContinue4">
    <w:name w:val="List Continue 4"/>
    <w:basedOn w:val="List4"/>
    <w:rsid w:val="00C13A79"/>
    <w:pPr>
      <w:ind w:firstLine="0"/>
    </w:pPr>
  </w:style>
  <w:style w:type="paragraph" w:styleId="ListContinue5">
    <w:name w:val="List Continue 5"/>
    <w:basedOn w:val="List5"/>
    <w:rsid w:val="00C13A79"/>
    <w:pPr>
      <w:ind w:firstLine="0"/>
    </w:pPr>
  </w:style>
  <w:style w:type="paragraph" w:styleId="ListNumber3">
    <w:name w:val="List Number 3"/>
    <w:basedOn w:val="List3"/>
    <w:rsid w:val="00C13A79"/>
    <w:pPr>
      <w:numPr>
        <w:numId w:val="5"/>
      </w:numPr>
    </w:pPr>
  </w:style>
  <w:style w:type="paragraph" w:styleId="ListNumber4">
    <w:name w:val="List Number 4"/>
    <w:basedOn w:val="List4"/>
    <w:rsid w:val="00C13A79"/>
    <w:pPr>
      <w:numPr>
        <w:numId w:val="6"/>
      </w:numPr>
    </w:pPr>
  </w:style>
  <w:style w:type="paragraph" w:styleId="ListNumber5">
    <w:name w:val="List Number 5"/>
    <w:basedOn w:val="List5"/>
    <w:rsid w:val="00C13A79"/>
    <w:pPr>
      <w:numPr>
        <w:numId w:val="7"/>
      </w:numPr>
    </w:pPr>
  </w:style>
  <w:style w:type="paragraph" w:styleId="BlockText">
    <w:name w:val="Block Text"/>
    <w:basedOn w:val="Normal"/>
    <w:rsid w:val="00C13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A79"/>
    <w:rPr>
      <w:sz w:val="16"/>
      <w:vertAlign w:val="superscript"/>
    </w:rPr>
  </w:style>
  <w:style w:type="character" w:customStyle="1" w:styleId="Symbols">
    <w:name w:val="Symbols"/>
    <w:basedOn w:val="DefaultParagraphFont"/>
    <w:rsid w:val="00C13A79"/>
    <w:rPr>
      <w:rFonts w:ascii="Symbol" w:hAnsi="Symbol"/>
    </w:rPr>
  </w:style>
  <w:style w:type="character" w:customStyle="1" w:styleId="MenuOptions">
    <w:name w:val="Menu Options"/>
    <w:basedOn w:val="DefaultParagraphFont"/>
    <w:rsid w:val="00C13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A79"/>
    <w:rPr>
      <w:b/>
    </w:rPr>
  </w:style>
  <w:style w:type="character" w:customStyle="1" w:styleId="Underlined">
    <w:name w:val="Underlined"/>
    <w:basedOn w:val="DefaultParagraphFont"/>
    <w:rsid w:val="00C13A79"/>
    <w:rPr>
      <w:u w:val="single"/>
    </w:rPr>
  </w:style>
  <w:style w:type="paragraph" w:customStyle="1" w:styleId="TableBodyTextRight">
    <w:name w:val="Table Body Text Right"/>
    <w:basedOn w:val="TableBodyText"/>
    <w:rsid w:val="00C13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A79"/>
    <w:rPr>
      <w:sz w:val="18"/>
    </w:rPr>
  </w:style>
  <w:style w:type="paragraph" w:customStyle="1" w:styleId="BodySmallRight">
    <w:name w:val="Body Small Right"/>
    <w:basedOn w:val="BodyTextRight"/>
    <w:rsid w:val="00C13A79"/>
    <w:rPr>
      <w:sz w:val="18"/>
      <w:szCs w:val="18"/>
    </w:rPr>
  </w:style>
  <w:style w:type="paragraph" w:customStyle="1" w:styleId="MarginEdition">
    <w:name w:val="Margin Edition"/>
    <w:basedOn w:val="MarginNote"/>
    <w:rsid w:val="00C13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A79"/>
    <w:rPr>
      <w:sz w:val="2"/>
      <w:szCs w:val="2"/>
    </w:rPr>
  </w:style>
  <w:style w:type="character" w:customStyle="1" w:styleId="Small">
    <w:name w:val="Small"/>
    <w:basedOn w:val="DefaultParagraphFont"/>
    <w:rsid w:val="00C13A79"/>
    <w:rPr>
      <w:sz w:val="16"/>
    </w:rPr>
  </w:style>
  <w:style w:type="paragraph" w:customStyle="1" w:styleId="WideTable">
    <w:name w:val="Wide Table"/>
    <w:basedOn w:val="Normal"/>
    <w:rsid w:val="00C13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A79"/>
  </w:style>
  <w:style w:type="paragraph" w:styleId="Quote">
    <w:name w:val="Quote"/>
    <w:basedOn w:val="Heading1"/>
    <w:link w:val="QuoteChar"/>
    <w:qFormat/>
    <w:rsid w:val="00C13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A79"/>
    <w:pPr>
      <w:pageBreakBefore/>
    </w:pPr>
  </w:style>
  <w:style w:type="paragraph" w:customStyle="1" w:styleId="Border">
    <w:name w:val="Border"/>
    <w:basedOn w:val="Normal"/>
    <w:qFormat/>
    <w:rsid w:val="00C13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A79"/>
    <w:rPr>
      <w:u w:val="single"/>
    </w:rPr>
  </w:style>
  <w:style w:type="character" w:customStyle="1" w:styleId="BoldandItalics">
    <w:name w:val="Bold and Italics"/>
    <w:qFormat/>
    <w:rsid w:val="00C13A79"/>
    <w:rPr>
      <w:b/>
      <w:i/>
      <w:u w:val="none"/>
    </w:rPr>
  </w:style>
  <w:style w:type="paragraph" w:styleId="BalloonText">
    <w:name w:val="Balloon Text"/>
    <w:basedOn w:val="Normal"/>
    <w:link w:val="BalloonTextChar"/>
    <w:rsid w:val="00C13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A79"/>
    <w:pPr>
      <w:spacing w:before="0" w:after="0"/>
    </w:pPr>
  </w:style>
  <w:style w:type="paragraph" w:customStyle="1" w:styleId="BodyTextBold">
    <w:name w:val="Body Text Bold"/>
    <w:basedOn w:val="BodyText"/>
    <w:qFormat/>
    <w:rsid w:val="00C13A79"/>
    <w:rPr>
      <w:b/>
    </w:rPr>
  </w:style>
  <w:style w:type="character" w:styleId="Hyperlink">
    <w:name w:val="Hyperlink"/>
    <w:basedOn w:val="DefaultParagraphFont"/>
    <w:uiPriority w:val="99"/>
    <w:unhideWhenUsed/>
    <w:rsid w:val="00027D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3467</Characters>
  <Application>Microsoft Office Word</Application>
  <DocSecurity>0</DocSecurity>
  <Lines>88</Lines>
  <Paragraphs>66</Paragraphs>
  <ScaleCrop>false</ScaleCrop>
  <Company>Author-it Software Corporation Ltd.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BSBWHS409 Assist with workplace monitoring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2022-03-23T01:39:00Z</dcterms:created>
  <dcterms:modified xsi:type="dcterms:W3CDTF">2022-03-23T01:39:00Z</dcterms:modified>
</cp:coreProperties>
</file>