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CE4" w:rsidP="00A07CE4">
      <w:pPr>
        <w:pStyle w:val="Title"/>
      </w:pPr>
      <w:r>
        <w:fldChar w:fldCharType="begin"/>
      </w:r>
      <w:r>
        <w:instrText xml:space="preserve"> TITLE   \* MERGEFORMAT </w:instrText>
      </w:r>
      <w:r>
        <w:fldChar w:fldCharType="separate"/>
      </w:r>
      <w:r>
        <w:t>BSBWHS303 Participate in WHS hazard identification, risk assessment and risk control</w:t>
      </w:r>
      <w:r>
        <w:fldChar w:fldCharType="end"/>
      </w:r>
    </w:p>
    <w:p w:rsidR="00A07CE4" w:rsidP="00A07CE4">
      <w:pPr>
        <w:pStyle w:val="Version"/>
        <w:sectPr w:rsidSect="00A72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C4F" w:rsidP="00A72C4F">
      <w:pPr>
        <w:pStyle w:val="SuperHeading"/>
      </w:pPr>
      <w:r w:rsidRPr="00A72C4F">
        <w:t>BSBWHS303 Participate in WHS hazard identification, risk assessment and risk control</w:t>
      </w:r>
    </w:p>
    <w:p w:rsidR="00000000" w:rsidRPr="00A72C4F" w:rsidP="00A72C4F">
      <w:pPr>
        <w:pStyle w:val="Heading1"/>
      </w:pPr>
      <w:bookmarkStart w:id="1" w:name="O_646228"/>
      <w:bookmarkEnd w:id="1"/>
      <w:r w:rsidRPr="00A72C4F">
        <w:t>Modification History</w:t>
      </w:r>
    </w:p>
    <w:tbl>
      <w:tblPr>
        <w:tblW w:w="0" w:type="auto"/>
        <w:tblLayout w:type="fixed"/>
        <w:tblCellMar>
          <w:left w:w="62" w:type="dxa"/>
          <w:right w:w="62" w:type="dxa"/>
        </w:tblCellMar>
        <w:tblLook w:val="0000"/>
      </w:tblPr>
      <w:tblGrid>
        <w:gridCol w:w="3153"/>
        <w:gridCol w:w="5873"/>
      </w:tblGrid>
      <w:tr w:rsidTr="00A72C4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rPr>
                <w:rStyle w:val="SpecialBold"/>
              </w:rPr>
              <w:t>Comments</w:t>
            </w:r>
          </w:p>
        </w:tc>
      </w:tr>
      <w:tr w:rsidTr="00A72C4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This version first released with BSB Business Services Training Package Version 1.0.</w:t>
            </w:r>
          </w:p>
        </w:tc>
      </w:tr>
    </w:tbl>
    <w:p w:rsidR="00000000" w:rsidRPr="00A72C4F" w:rsidP="00A72C4F">
      <w:pPr>
        <w:pStyle w:val="BodyText"/>
      </w:pPr>
    </w:p>
    <w:p w:rsidR="00000000" w:rsidRPr="00A72C4F" w:rsidP="00A72C4F">
      <w:pPr>
        <w:pStyle w:val="AllowPageBreak"/>
      </w:pPr>
    </w:p>
    <w:p w:rsidR="00000000" w:rsidRPr="00A72C4F" w:rsidP="00A72C4F">
      <w:pPr>
        <w:pStyle w:val="Heading1"/>
      </w:pPr>
      <w:bookmarkStart w:id="2" w:name="O_646229"/>
      <w:bookmarkEnd w:id="2"/>
      <w:r w:rsidRPr="00A72C4F">
        <w:t>Application</w:t>
      </w:r>
    </w:p>
    <w:p w:rsidR="00000000" w:rsidRPr="00A72C4F" w:rsidP="00A07CE4">
      <w:pPr>
        <w:pStyle w:val="BodyText"/>
      </w:pPr>
      <w:r w:rsidRPr="00A72C4F">
        <w:t>This unit describes the skills and knowledge required to maintain a healthy and safe workplace through participation in the process of identifying work health and safety (WHS) hazards and assessing and controlling WHS risks, and the promotion a</w:t>
      </w:r>
      <w:r w:rsidRPr="00A72C4F">
        <w:t>nd support of worker consultation.</w:t>
      </w:r>
    </w:p>
    <w:p w:rsidR="00000000" w:rsidRPr="00A72C4F" w:rsidP="00A07CE4">
      <w:pPr>
        <w:pStyle w:val="BodyText"/>
      </w:pPr>
      <w:r w:rsidRPr="00A72C4F">
        <w:t>It applies to individuals who assist with the identification of workplace hazards and the assessment and control of WHS risks as part of their WHS responsibilities, which are in addition to their main duties.</w:t>
      </w:r>
    </w:p>
    <w:p w:rsidR="00000000" w:rsidRPr="00A72C4F" w:rsidP="00A07CE4">
      <w:pPr>
        <w:pStyle w:val="BodyText"/>
      </w:pPr>
      <w:r w:rsidRPr="00A72C4F">
        <w:t>NOTE: The</w:t>
      </w:r>
      <w:r w:rsidRPr="00A72C4F">
        <w:t xml:space="preserve"> terms </w:t>
      </w:r>
      <w:r>
        <w:t>‘</w:t>
      </w:r>
      <w:r w:rsidRPr="00A72C4F">
        <w:t>occupational health and safety</w:t>
      </w:r>
      <w:r>
        <w:t>’</w:t>
      </w:r>
      <w:r w:rsidRPr="00A72C4F">
        <w:t xml:space="preserve"> (OHS) and </w:t>
      </w:r>
      <w:r>
        <w:t>‘</w:t>
      </w:r>
      <w:r w:rsidRPr="00A72C4F">
        <w:t>work health and safety</w:t>
      </w:r>
      <w:r>
        <w:t>’</w:t>
      </w:r>
      <w:r w:rsidRPr="00A72C4F">
        <w:t xml:space="preserve"> (WHS) are equivalent and generally either can be used in the workplace. In jurisdictions where the Model WHS Legislation has not been implemented RTOs are advised to contextualise t</w:t>
      </w:r>
      <w:r w:rsidRPr="00A72C4F">
        <w:t>he unit of competency by referring to the existing State/Territory OHS legislative requirements.</w:t>
      </w:r>
    </w:p>
    <w:p w:rsidR="00000000" w:rsidRPr="00A72C4F" w:rsidP="00A07CE4">
      <w:pPr>
        <w:pStyle w:val="BodyText"/>
      </w:pPr>
      <w:r w:rsidRPr="00A72C4F">
        <w:t xml:space="preserve">No licensing, legislative or certification requirements apply to this unit at the time of publication. </w:t>
      </w:r>
    </w:p>
    <w:p w:rsidR="00000000" w:rsidRPr="00A72C4F" w:rsidP="00A72C4F">
      <w:pPr>
        <w:pStyle w:val="Heading1"/>
      </w:pPr>
      <w:bookmarkStart w:id="3" w:name="O_646232"/>
      <w:bookmarkEnd w:id="3"/>
      <w:r w:rsidRPr="00A72C4F">
        <w:t>Unit Sector</w:t>
      </w:r>
    </w:p>
    <w:p w:rsidR="00000000" w:rsidRPr="00A72C4F" w:rsidP="00A07CE4">
      <w:pPr>
        <w:pStyle w:val="BodyText"/>
      </w:pPr>
      <w:r w:rsidRPr="00A72C4F">
        <w:t>Regulation, Licensing and</w:t>
      </w:r>
      <w:r w:rsidRPr="00A72C4F">
        <w:t xml:space="preserve"> Risk – Work Health and Safety</w:t>
      </w:r>
    </w:p>
    <w:p w:rsidR="00000000" w:rsidRPr="00A72C4F" w:rsidP="00A72C4F">
      <w:pPr>
        <w:pStyle w:val="Heading1"/>
      </w:pPr>
      <w:bookmarkStart w:id="4" w:name="O_646233"/>
      <w:bookmarkEnd w:id="4"/>
      <w:r w:rsidRPr="00A72C4F">
        <w:t>Elements and Performance Criteria</w:t>
      </w:r>
    </w:p>
    <w:tbl>
      <w:tblPr>
        <w:tblW w:w="9462" w:type="dxa"/>
        <w:tblLayout w:type="fixed"/>
        <w:tblCellMar>
          <w:left w:w="62" w:type="dxa"/>
          <w:right w:w="62" w:type="dxa"/>
        </w:tblCellMar>
        <w:tblLook w:val="0000"/>
      </w:tblPr>
      <w:tblGrid>
        <w:gridCol w:w="2700"/>
        <w:gridCol w:w="6762"/>
      </w:tblGrid>
      <w:tr w:rsidTr="00A72C4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2C4F">
            <w:pPr>
              <w:pStyle w:val="BodyText"/>
              <w:rPr>
                <w:lang w:val="en-NZ"/>
              </w:rPr>
            </w:pPr>
            <w:r w:rsidRPr="00A72C4F">
              <w:rPr>
                <w:rStyle w:val="SpecialBold"/>
              </w:rPr>
              <w:t>PERFORMANCE CRITERIA</w:t>
            </w:r>
          </w:p>
        </w:tc>
      </w:tr>
      <w:tr w:rsidTr="00A72C4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rPr>
                <w:rStyle w:val="Emphasis"/>
              </w:rPr>
              <w:t>Performance criteria describe the performance needed to demonstrate achievement of the element.</w:t>
            </w:r>
          </w:p>
        </w:tc>
      </w:tr>
      <w:tr w:rsidTr="00A72C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 xml:space="preserve">1. Participate in workplace hazard identification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1.1 Participate in selecting hazard identification methods suitable for the workplace</w:t>
            </w:r>
          </w:p>
          <w:p w:rsidR="00000000" w:rsidRPr="00A72C4F" w:rsidP="00A72C4F">
            <w:pPr>
              <w:pStyle w:val="BodyText"/>
            </w:pPr>
            <w:r w:rsidRPr="00A72C4F">
              <w:t>1.2 Use selected methods to identify, report and record hazards according to workplace procedures and WHS Acts, regulat</w:t>
            </w:r>
            <w:r w:rsidRPr="00A72C4F">
              <w:t>ions and codes of practice</w:t>
            </w:r>
          </w:p>
          <w:p w:rsidR="00000000" w:rsidP="00A72C4F">
            <w:pPr>
              <w:pStyle w:val="BodyText"/>
              <w:rPr>
                <w:lang w:val="en-NZ"/>
              </w:rPr>
            </w:pPr>
            <w:r w:rsidRPr="00A72C4F">
              <w:t>1.3 Provide information and assistance to persons conducting hazard identification</w:t>
            </w:r>
          </w:p>
        </w:tc>
      </w:tr>
      <w:tr w:rsidTr="00A72C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 xml:space="preserve">2. Participate in WHS risk assessment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2.1 Participate in selecting suitable risk assessment methods for the workplace</w:t>
            </w:r>
          </w:p>
          <w:p w:rsidR="00000000" w:rsidRPr="00A72C4F" w:rsidP="00A72C4F">
            <w:pPr>
              <w:pStyle w:val="BodyText"/>
            </w:pPr>
            <w:r w:rsidRPr="00A72C4F">
              <w:t>2.2 Use selected methods to assess and record risks according to workplace procedures and WHS Acts, regulations and codes of practice</w:t>
            </w:r>
          </w:p>
          <w:p w:rsidR="00000000" w:rsidP="00A72C4F">
            <w:pPr>
              <w:pStyle w:val="BodyText"/>
              <w:rPr>
                <w:lang w:val="en-NZ"/>
              </w:rPr>
            </w:pPr>
            <w:r w:rsidRPr="00A72C4F">
              <w:t>2.3 Provide information and assistance to persons conducting risk assessments</w:t>
            </w:r>
          </w:p>
        </w:tc>
      </w:tr>
      <w:tr w:rsidTr="00A72C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 xml:space="preserve">3. Promote and support worker consultation </w:t>
            </w:r>
            <w:r w:rsidRPr="00A72C4F">
              <w:t xml:space="preserve">and participation in hazard identification and risk assessment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3.1 Advise workers of, and consult them about, hazard identification and risk assessment activities, according to workplace WHS consultation and participation policies, procedures and processe</w:t>
            </w:r>
            <w:r w:rsidRPr="00A72C4F">
              <w:t>s</w:t>
            </w:r>
          </w:p>
          <w:p w:rsidR="00000000" w:rsidRPr="00A72C4F" w:rsidP="00A72C4F">
            <w:pPr>
              <w:pStyle w:val="BodyText"/>
            </w:pPr>
            <w:r w:rsidRPr="00A72C4F">
              <w:t xml:space="preserve">3.2 Encourage workers to participate in these activities according to workplace WHS consultation and participation policies, procedures and processes </w:t>
            </w:r>
          </w:p>
          <w:p w:rsidR="00000000" w:rsidP="00A72C4F">
            <w:pPr>
              <w:pStyle w:val="BodyText"/>
              <w:rPr>
                <w:lang w:val="en-NZ"/>
              </w:rPr>
            </w:pPr>
            <w:r w:rsidRPr="00A72C4F">
              <w:t xml:space="preserve">3.3 Advise workers of, and consult them about, the results and outcomes of these activities, according </w:t>
            </w:r>
            <w:r w:rsidRPr="00A72C4F">
              <w:t>to workplace WHS consultation and participation policies, procedures and processes</w:t>
            </w:r>
          </w:p>
        </w:tc>
      </w:tr>
      <w:tr w:rsidTr="00A72C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4. Participate in developing, selecting and implementing WHS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 xml:space="preserve">4.1 Obtain workplace records of the outcomes of hazard identifications and risk assessments, and </w:t>
            </w:r>
            <w:r w:rsidRPr="00A72C4F">
              <w:t>use them to participate in developing risk control options</w:t>
            </w:r>
          </w:p>
          <w:p w:rsidR="00000000" w:rsidRPr="00A72C4F" w:rsidP="00A72C4F">
            <w:pPr>
              <w:pStyle w:val="BodyText"/>
            </w:pPr>
            <w:r w:rsidRPr="00A72C4F">
              <w:t>4.2 Apply knowledge of WHS Acts, regulations, codes of practice, other information and guidelines, and workplace policies, procedures and processes to identify duty holders</w:t>
            </w:r>
          </w:p>
          <w:p w:rsidR="00000000" w:rsidRPr="00A72C4F" w:rsidP="00A72C4F">
            <w:pPr>
              <w:pStyle w:val="BodyText"/>
            </w:pPr>
            <w:r w:rsidRPr="00A72C4F">
              <w:t>4.3 Participate in selec</w:t>
            </w:r>
            <w:r w:rsidRPr="00A72C4F">
              <w:t>ting risk control options using appropriate criteria</w:t>
            </w:r>
          </w:p>
          <w:p w:rsidR="00000000" w:rsidRPr="00A72C4F" w:rsidP="00A72C4F">
            <w:pPr>
              <w:pStyle w:val="BodyText"/>
            </w:pPr>
            <w:r w:rsidRPr="00A72C4F">
              <w:t>4.4 Identify and report factors impeding successful implementation of selected risk controls</w:t>
            </w:r>
          </w:p>
          <w:p w:rsidR="00000000" w:rsidRPr="00A72C4F" w:rsidP="00A72C4F">
            <w:pPr>
              <w:pStyle w:val="BodyText"/>
            </w:pPr>
            <w:r w:rsidRPr="00A72C4F">
              <w:t>4.5 Participate in developing a risk control implementation and evaluation plan</w:t>
            </w:r>
          </w:p>
          <w:p w:rsidR="00000000" w:rsidP="00A72C4F">
            <w:pPr>
              <w:pStyle w:val="BodyText"/>
              <w:rPr>
                <w:lang w:val="en-NZ"/>
              </w:rPr>
            </w:pPr>
            <w:r w:rsidRPr="00A72C4F">
              <w:t xml:space="preserve">4.6 Provide information about </w:t>
            </w:r>
            <w:r w:rsidRPr="00A72C4F">
              <w:t>the implementation and evaluation plan to individuals and parties</w:t>
            </w:r>
          </w:p>
        </w:tc>
      </w:tr>
      <w:tr w:rsidTr="00A72C4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5. Support effective worker consultation and participation in the risk control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5.1 Advise workers of, and consult them about, developing risk control options, and selecting and impl</w:t>
            </w:r>
            <w:r w:rsidRPr="00A72C4F">
              <w:t xml:space="preserve">ementing risk controls, according to workplace WHS consultation and participation policies, procedures and processes </w:t>
            </w:r>
          </w:p>
          <w:p w:rsidR="00000000" w:rsidRPr="00A72C4F" w:rsidP="00A72C4F">
            <w:pPr>
              <w:pStyle w:val="BodyText"/>
            </w:pPr>
            <w:r w:rsidRPr="00A72C4F">
              <w:t>5.2 Encourage workers to participate in these activities according to workplace WHS consultation and participation policies, procedures an</w:t>
            </w:r>
            <w:r w:rsidRPr="00A72C4F">
              <w:t>d processes</w:t>
            </w:r>
          </w:p>
        </w:tc>
      </w:tr>
    </w:tbl>
    <w:p w:rsidR="00000000" w:rsidRPr="00A72C4F" w:rsidP="00A72C4F">
      <w:pPr>
        <w:pStyle w:val="BodyText"/>
      </w:pPr>
    </w:p>
    <w:p w:rsidR="00000000" w:rsidRPr="00A72C4F" w:rsidP="00A72C4F">
      <w:pPr>
        <w:pStyle w:val="AllowPageBreak"/>
      </w:pPr>
    </w:p>
    <w:p w:rsidR="00000000" w:rsidRPr="00A72C4F" w:rsidP="00A72C4F">
      <w:pPr>
        <w:pStyle w:val="Heading1"/>
      </w:pPr>
      <w:bookmarkStart w:id="5" w:name="O_646234"/>
      <w:bookmarkEnd w:id="5"/>
      <w:r w:rsidRPr="00A72C4F">
        <w:t>Foundation Skills</w:t>
      </w:r>
    </w:p>
    <w:p w:rsidR="00000000" w:rsidRPr="00A07CE4" w:rsidP="00A07CE4">
      <w:pPr>
        <w:pStyle w:val="BodyText"/>
        <w:rPr>
          <w:i/>
        </w:rPr>
      </w:pPr>
      <w:r w:rsidRPr="00A07CE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Performance</w:t>
            </w:r>
          </w:p>
          <w:p w:rsidR="00000000" w:rsidRPr="00A72C4F" w:rsidP="00A72C4F">
            <w:pPr>
              <w:pStyle w:val="BodyText"/>
            </w:pPr>
            <w:r w:rsidRPr="00A72C4F">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rPr>
                <w:rStyle w:val="SpecialBold"/>
              </w:rPr>
              <w:t>Description</w:t>
            </w:r>
          </w:p>
        </w:tc>
      </w:tr>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 xml:space="preserve">Reading </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1.1, 1.2, 2.1, 4.1, 4.3, 4.4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ListBullet"/>
              <w:rPr>
                <w:lang w:val="en-NZ"/>
              </w:rPr>
            </w:pPr>
            <w:r w:rsidRPr="00A72C4F">
              <w:t>Interprets and identifies information from WHS legislation, workplace policy and procedure and records</w:t>
            </w:r>
          </w:p>
        </w:tc>
      </w:tr>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1.2, 1.3, 2.2, 2.3, 3.1-3.3, 4.5, 4.6,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ListBullet"/>
              <w:rPr>
                <w:lang w:val="en-NZ"/>
              </w:rPr>
            </w:pPr>
            <w:r w:rsidRPr="00A72C4F">
              <w:t xml:space="preserve">Uses formats and language appropriate to audience and context in plans, reports and general advice </w:t>
            </w:r>
          </w:p>
        </w:tc>
      </w:tr>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1.1-1.3, 2.1-2.3, 4.6</w:t>
            </w:r>
          </w:p>
          <w:p w:rsidR="00000000" w:rsidP="00A72C4F">
            <w:pPr>
              <w:pStyle w:val="BodyText"/>
              <w:rPr>
                <w:lang w:val="en-NZ"/>
              </w:rPr>
            </w:pP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ListBullet"/>
            </w:pPr>
            <w:r w:rsidRPr="00A72C4F">
              <w:t xml:space="preserve">Presents information or assistance using appropriate levels of industry specific vocabulary </w:t>
            </w:r>
          </w:p>
          <w:p w:rsidR="00000000" w:rsidP="00A72C4F">
            <w:pPr>
              <w:pStyle w:val="ListBullet"/>
              <w:rPr>
                <w:lang w:val="en-NZ"/>
              </w:rPr>
            </w:pPr>
            <w:r w:rsidRPr="00A72C4F">
              <w:t xml:space="preserve">Uses listening and </w:t>
            </w:r>
            <w:r w:rsidRPr="00A72C4F">
              <w:t>questioning to clarify and confirm understanding</w:t>
            </w:r>
          </w:p>
        </w:tc>
      </w:tr>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1.2, 2.2, 3.1, 3.3, 4.2, 5.1, 5.2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ListBullet"/>
            </w:pPr>
            <w:r w:rsidRPr="00A72C4F">
              <w:t>Follows legal and regulatory responsibilities and organisational policies and procedures in relation to WHS role</w:t>
            </w:r>
          </w:p>
          <w:p w:rsidR="00000000" w:rsidP="00A72C4F">
            <w:pPr>
              <w:pStyle w:val="ListBullet"/>
              <w:rPr>
                <w:lang w:val="en-NZ"/>
              </w:rPr>
            </w:pPr>
            <w:r w:rsidRPr="00A72C4F">
              <w:t xml:space="preserve">Keeps up to date on changes to </w:t>
            </w:r>
            <w:r w:rsidRPr="00A72C4F">
              <w:t>WHS legislation or regulations and organisational policies and procedures</w:t>
            </w:r>
          </w:p>
        </w:tc>
      </w:tr>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1.1, 1.3, 2.1, 2.3, 3.2, 3.3, 4.3, 4.5, 4.6, 5.1, 5.2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ListBullet"/>
            </w:pPr>
            <w:r w:rsidRPr="00A72C4F">
              <w:t>Understands what to communicate and to whom in a range of contexts</w:t>
            </w:r>
          </w:p>
          <w:p w:rsidR="00000000" w:rsidRPr="00A72C4F" w:rsidP="00A72C4F">
            <w:pPr>
              <w:pStyle w:val="ListBullet"/>
            </w:pPr>
            <w:r w:rsidRPr="00A72C4F">
              <w:t>Cooperates with others as part of WHS activities and contributes to specific activities requiring joint responsibility and accountability</w:t>
            </w:r>
          </w:p>
          <w:p w:rsidR="00000000" w:rsidRPr="00A72C4F" w:rsidP="00A72C4F">
            <w:pPr>
              <w:pStyle w:val="ListBullet"/>
            </w:pPr>
            <w:r w:rsidRPr="00A72C4F">
              <w:t>Shares information and resources, offers assistance voluntarily and provides feedback when requested</w:t>
            </w:r>
          </w:p>
          <w:p w:rsidR="00000000" w:rsidP="00A72C4F">
            <w:pPr>
              <w:pStyle w:val="ListBullet"/>
              <w:rPr>
                <w:lang w:val="en-NZ"/>
              </w:rPr>
            </w:pPr>
            <w:r w:rsidRPr="00A72C4F">
              <w:t>Plays an active r</w:t>
            </w:r>
            <w:r w:rsidRPr="00A72C4F">
              <w:t>ole in group discussions, paying attention to perspectives of others and encouraging participation</w:t>
            </w:r>
          </w:p>
        </w:tc>
      </w:tr>
      <w:tr w:rsidTr="00A72C4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1.1, 1.2, 2.1, 2.2, 4.3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ListBullet"/>
            </w:pPr>
            <w:r w:rsidRPr="00A72C4F">
              <w:t xml:space="preserve">Plans and implements tasks to achieve required outcomes </w:t>
            </w:r>
          </w:p>
          <w:p w:rsidR="00000000" w:rsidRPr="00A72C4F" w:rsidP="00A72C4F">
            <w:pPr>
              <w:pStyle w:val="ListBullet"/>
            </w:pPr>
            <w:r w:rsidRPr="00A72C4F">
              <w:t>Uses formal decision-making processes, setting or clarif</w:t>
            </w:r>
            <w:r w:rsidRPr="00A72C4F">
              <w:t>ying goals, gathering information and identifying and evaluating choices against a set of criteria in the WHS risk-management process</w:t>
            </w:r>
          </w:p>
        </w:tc>
      </w:tr>
    </w:tbl>
    <w:p w:rsidR="00000000" w:rsidRPr="00A72C4F" w:rsidP="00A72C4F">
      <w:pPr>
        <w:pStyle w:val="BodyText"/>
      </w:pPr>
    </w:p>
    <w:p w:rsidR="00000000" w:rsidRPr="00A72C4F" w:rsidP="00A72C4F">
      <w:pPr>
        <w:pStyle w:val="AllowPageBreak"/>
      </w:pPr>
    </w:p>
    <w:p w:rsidR="00000000" w:rsidRPr="00A72C4F" w:rsidP="00A72C4F">
      <w:pPr>
        <w:pStyle w:val="Heading1"/>
      </w:pPr>
      <w:bookmarkStart w:id="6" w:name="O_646236"/>
      <w:bookmarkEnd w:id="6"/>
      <w:r w:rsidRPr="00A72C4F">
        <w:t>Unit Mapping Information</w:t>
      </w:r>
    </w:p>
    <w:tbl>
      <w:tblPr>
        <w:tblW w:w="0" w:type="auto"/>
        <w:tblLayout w:type="fixed"/>
        <w:tblCellMar>
          <w:left w:w="62" w:type="dxa"/>
          <w:right w:w="62" w:type="dxa"/>
        </w:tblCellMar>
        <w:tblLook w:val="0000"/>
      </w:tblPr>
      <w:tblGrid>
        <w:gridCol w:w="2220"/>
        <w:gridCol w:w="2295"/>
        <w:gridCol w:w="2295"/>
        <w:gridCol w:w="2295"/>
      </w:tblGrid>
      <w:tr w:rsidTr="00A72C4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 xml:space="preserve">Code and title </w:t>
            </w:r>
          </w:p>
          <w:p w:rsidR="00000000" w:rsidRPr="00A72C4F" w:rsidP="00A72C4F">
            <w:pPr>
              <w:pStyle w:val="BodyText"/>
            </w:pPr>
            <w:r w:rsidRPr="00A72C4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Code and title</w:t>
            </w:r>
          </w:p>
          <w:p w:rsidR="00000000" w:rsidRPr="00A72C4F" w:rsidP="00A72C4F">
            <w:pPr>
              <w:pStyle w:val="BodyText"/>
            </w:pPr>
            <w:r w:rsidRPr="00A72C4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rPr>
                <w:rStyle w:val="SpecialBold"/>
              </w:rPr>
              <w:t>Equivalence status</w:t>
            </w:r>
          </w:p>
        </w:tc>
      </w:tr>
      <w:tr w:rsidTr="00A72C4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BSBWHS303 Participate in WHS hazard identification, risk assessment and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C4F">
            <w:pPr>
              <w:pStyle w:val="BodyText"/>
              <w:rPr>
                <w:lang w:val="en-NZ"/>
              </w:rPr>
            </w:pPr>
            <w:r w:rsidRPr="00A72C4F">
              <w:t>BSBWHS303A Participate in WHS hazard identification, risk assessment and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Updated to meet Standards for Training Packages</w:t>
            </w:r>
          </w:p>
          <w:p w:rsidR="00000000" w:rsidRPr="00A72C4F" w:rsidP="00A72C4F">
            <w:pPr>
              <w:pStyle w:val="BodyText"/>
            </w:pPr>
          </w:p>
          <w:p w:rsidR="00000000" w:rsidP="00A72C4F">
            <w:pPr>
              <w:pStyle w:val="BodyText"/>
              <w:rPr>
                <w:lang w:val="en-NZ"/>
              </w:rPr>
            </w:pPr>
            <w:r w:rsidRPr="00A72C4F">
              <w:t>Minor edits to c</w:t>
            </w:r>
            <w:r w:rsidRPr="00A72C4F">
              <w:t>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C4F" w:rsidP="00A72C4F">
            <w:pPr>
              <w:pStyle w:val="BodyText"/>
            </w:pPr>
            <w:r w:rsidRPr="00A72C4F">
              <w:t>Equivalent unit</w:t>
            </w:r>
          </w:p>
        </w:tc>
      </w:tr>
    </w:tbl>
    <w:p w:rsidR="00000000" w:rsidRPr="00A72C4F" w:rsidP="00A72C4F">
      <w:pPr>
        <w:pStyle w:val="BodyText"/>
      </w:pPr>
    </w:p>
    <w:p w:rsidR="00000000" w:rsidRPr="00A72C4F" w:rsidP="00A72C4F">
      <w:pPr>
        <w:pStyle w:val="AllowPageBreak"/>
      </w:pPr>
    </w:p>
    <w:p w:rsidR="00000000" w:rsidRPr="00A72C4F" w:rsidP="00A72C4F">
      <w:pPr>
        <w:pStyle w:val="Heading1"/>
      </w:pPr>
      <w:bookmarkStart w:id="7" w:name="O_646243"/>
      <w:bookmarkEnd w:id="7"/>
      <w:r w:rsidRPr="00A72C4F">
        <w:t>Links</w:t>
      </w:r>
    </w:p>
    <w:p w:rsidR="00000000" w:rsidRPr="00A72C4F" w:rsidP="00A07CE4">
      <w:pPr>
        <w:pStyle w:val="BodyText"/>
      </w:pPr>
      <w:r w:rsidRPr="00A72C4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C4A80">
        <w:rPr>
          <w:rStyle w:val="Hyperlink"/>
        </w:rPr>
        <w:t>https://vetnet.gov.au/Pages/TrainingDocs.aspx?q=11ef6853-ceed-4ba7-9d87-4da407e23c10</w:t>
      </w:r>
      <w:r>
        <w:fldChar w:fldCharType="end"/>
      </w:r>
    </w:p>
    <w:p w:rsidR="00000000" w:rsidRPr="00A72C4F" w:rsidP="00A72C4F"/>
    <w:sectPr w:rsidSect="00A72C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4F" w:rsidRPr="00A07CE4" w:rsidP="00A07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E4" w:rsidP="00A72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7CE4" w:rsidP="00A72C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07CE4" w:rsidP="00A72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C4F" w:rsidRPr="00A07CE4" w:rsidP="00A07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E4" w:rsidRPr="002D2AF8" w:rsidP="00A72C4F">
    <w:pPr>
      <w:pStyle w:val="Header"/>
      <w:framePr w:wrap="around"/>
    </w:pPr>
    <w:r>
      <w:fldChar w:fldCharType="begin"/>
    </w:r>
    <w:r>
      <w:instrText xml:space="preserve"> TITLE   \* MERGEFORMAT </w:instrText>
    </w:r>
    <w:r>
      <w:fldChar w:fldCharType="separate"/>
    </w:r>
    <w:r>
      <w:t>BSBWHS303 Participate in WHS hazard identification, risk assessment and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A07CE4" w:rsidP="00A72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6E5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68A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C4F"/>
    <w:pPr>
      <w:spacing w:before="360" w:after="60"/>
      <w:outlineLvl w:val="0"/>
    </w:pPr>
    <w:rPr>
      <w:sz w:val="32"/>
    </w:rPr>
  </w:style>
  <w:style w:type="paragraph" w:styleId="Heading2">
    <w:name w:val="heading 2"/>
    <w:basedOn w:val="HeadingBase"/>
    <w:next w:val="BodyText"/>
    <w:link w:val="Heading2Char"/>
    <w:qFormat/>
    <w:rsid w:val="00A72C4F"/>
    <w:pPr>
      <w:keepLines/>
      <w:spacing w:before="240" w:after="120"/>
      <w:outlineLvl w:val="1"/>
    </w:pPr>
    <w:rPr>
      <w:sz w:val="28"/>
      <w:szCs w:val="40"/>
    </w:rPr>
  </w:style>
  <w:style w:type="paragraph" w:styleId="Heading3">
    <w:name w:val="heading 3"/>
    <w:basedOn w:val="HeadingBase"/>
    <w:next w:val="BodyText"/>
    <w:link w:val="Heading3Char"/>
    <w:qFormat/>
    <w:rsid w:val="00A72C4F"/>
    <w:pPr>
      <w:spacing w:before="180" w:after="120"/>
      <w:outlineLvl w:val="2"/>
    </w:pPr>
    <w:rPr>
      <w:spacing w:val="-10"/>
      <w:kern w:val="32"/>
    </w:rPr>
  </w:style>
  <w:style w:type="paragraph" w:styleId="Heading4">
    <w:name w:val="heading 4"/>
    <w:basedOn w:val="HeadingBase"/>
    <w:next w:val="BodyText"/>
    <w:link w:val="Heading4Char"/>
    <w:qFormat/>
    <w:rsid w:val="00A72C4F"/>
    <w:pPr>
      <w:spacing w:before="160" w:after="120"/>
      <w:outlineLvl w:val="3"/>
    </w:pPr>
    <w:rPr>
      <w:sz w:val="22"/>
    </w:rPr>
  </w:style>
  <w:style w:type="paragraph" w:styleId="Heading5">
    <w:name w:val="heading 5"/>
    <w:basedOn w:val="HeadingBase"/>
    <w:next w:val="Normal"/>
    <w:link w:val="Heading5Char"/>
    <w:qFormat/>
    <w:rsid w:val="00A72C4F"/>
    <w:pPr>
      <w:spacing w:before="80"/>
      <w:outlineLvl w:val="4"/>
    </w:pPr>
    <w:rPr>
      <w:color w:val="918585"/>
      <w:sz w:val="20"/>
    </w:rPr>
  </w:style>
  <w:style w:type="paragraph" w:styleId="Heading6">
    <w:name w:val="heading 6"/>
    <w:basedOn w:val="HeadingBase"/>
    <w:next w:val="Normal"/>
    <w:link w:val="Heading6Char"/>
    <w:qFormat/>
    <w:rsid w:val="00A72C4F"/>
    <w:pPr>
      <w:spacing w:before="60"/>
      <w:outlineLvl w:val="5"/>
    </w:pPr>
    <w:rPr>
      <w:color w:val="918585"/>
      <w:sz w:val="20"/>
    </w:rPr>
  </w:style>
  <w:style w:type="paragraph" w:styleId="Heading7">
    <w:name w:val="heading 7"/>
    <w:basedOn w:val="Normal"/>
    <w:next w:val="Normal"/>
    <w:link w:val="Heading7Char"/>
    <w:qFormat/>
    <w:rsid w:val="00A72C4F"/>
    <w:pPr>
      <w:ind w:left="720"/>
      <w:outlineLvl w:val="6"/>
    </w:pPr>
    <w:rPr>
      <w:i/>
    </w:rPr>
  </w:style>
  <w:style w:type="paragraph" w:styleId="Heading8">
    <w:name w:val="heading 8"/>
    <w:basedOn w:val="Normal"/>
    <w:next w:val="Normal"/>
    <w:link w:val="Heading8Char"/>
    <w:qFormat/>
    <w:rsid w:val="00A72C4F"/>
    <w:pPr>
      <w:ind w:left="720"/>
      <w:outlineLvl w:val="7"/>
    </w:pPr>
    <w:rPr>
      <w:i/>
    </w:rPr>
  </w:style>
  <w:style w:type="paragraph" w:styleId="Heading9">
    <w:name w:val="heading 9"/>
    <w:basedOn w:val="Normal"/>
    <w:next w:val="Normal"/>
    <w:link w:val="Heading9Char"/>
    <w:qFormat/>
    <w:rsid w:val="00A72C4F"/>
    <w:pPr>
      <w:ind w:left="720"/>
      <w:outlineLvl w:val="8"/>
    </w:pPr>
    <w:rPr>
      <w:i/>
    </w:rPr>
  </w:style>
  <w:style w:type="character" w:default="1" w:styleId="DefaultParagraphFont">
    <w:name w:val="Default Paragraph Font"/>
    <w:uiPriority w:val="1"/>
    <w:unhideWhenUsed/>
    <w:rsid w:val="00A72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C4F"/>
  </w:style>
  <w:style w:type="character" w:customStyle="1" w:styleId="Heading1Char">
    <w:name w:val="Heading 1 Char"/>
    <w:basedOn w:val="DefaultParagraphFont"/>
    <w:link w:val="Heading1"/>
    <w:rsid w:val="00A72C4F"/>
    <w:rPr>
      <w:rFonts w:ascii="Times New Roman" w:eastAsia="Times New Roman" w:hAnsi="Times New Roman" w:cs="Times New Roman"/>
      <w:b/>
      <w:sz w:val="32"/>
      <w:szCs w:val="20"/>
      <w:lang w:eastAsia="en-US"/>
    </w:rPr>
  </w:style>
  <w:style w:type="paragraph" w:styleId="BodyText">
    <w:name w:val="Body Text"/>
    <w:basedOn w:val="Normal"/>
    <w:link w:val="BodyTextChar"/>
    <w:rsid w:val="00A72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C4F"/>
    <w:rPr>
      <w:rFonts w:ascii="Times New Roman" w:eastAsia="Times New Roman" w:hAnsi="Times New Roman" w:cs="Times New Roman"/>
      <w:sz w:val="24"/>
      <w:lang w:eastAsia="en-US"/>
    </w:rPr>
  </w:style>
  <w:style w:type="paragraph" w:styleId="ListBullet">
    <w:name w:val="List Bullet"/>
    <w:basedOn w:val="List"/>
    <w:rsid w:val="00A72C4F"/>
    <w:pPr>
      <w:numPr>
        <w:numId w:val="11"/>
      </w:numPr>
      <w:tabs>
        <w:tab w:val="clear" w:pos="340"/>
      </w:tabs>
      <w:spacing w:before="40" w:after="40"/>
    </w:pPr>
  </w:style>
  <w:style w:type="character" w:customStyle="1" w:styleId="SpecialBold">
    <w:name w:val="Special Bold"/>
    <w:basedOn w:val="DefaultParagraphFont"/>
    <w:rsid w:val="00A72C4F"/>
    <w:rPr>
      <w:b/>
      <w:spacing w:val="0"/>
    </w:rPr>
  </w:style>
  <w:style w:type="character" w:styleId="Emphasis">
    <w:name w:val="Emphasis"/>
    <w:basedOn w:val="DefaultParagraphFont"/>
    <w:qFormat/>
    <w:rsid w:val="00A72C4F"/>
    <w:rPr>
      <w:i/>
    </w:rPr>
  </w:style>
  <w:style w:type="paragraph" w:customStyle="1" w:styleId="SuperHeading">
    <w:name w:val="SuperHeading"/>
    <w:basedOn w:val="Normal"/>
    <w:rsid w:val="00A72C4F"/>
    <w:pPr>
      <w:spacing w:before="240" w:after="120"/>
      <w:outlineLvl w:val="0"/>
    </w:pPr>
    <w:rPr>
      <w:rFonts w:ascii="Times New Roman" w:hAnsi="Times New Roman"/>
      <w:b/>
      <w:sz w:val="32"/>
    </w:rPr>
  </w:style>
  <w:style w:type="paragraph" w:customStyle="1" w:styleId="AllowPageBreak">
    <w:name w:val="AllowPageBreak"/>
    <w:rsid w:val="00A72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C4F"/>
    <w:rPr>
      <w:rFonts w:ascii="Courier New" w:eastAsia="Times New Roman" w:hAnsi="Courier New" w:cs="Times New Roman"/>
      <w:i/>
      <w:szCs w:val="20"/>
      <w:lang w:eastAsia="en-US"/>
    </w:rPr>
  </w:style>
  <w:style w:type="paragraph" w:customStyle="1" w:styleId="HeadingBase">
    <w:name w:val="Heading Base"/>
    <w:rsid w:val="00A72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C4F"/>
    <w:pPr>
      <w:tabs>
        <w:tab w:val="right" w:leader="dot" w:pos="9072"/>
      </w:tabs>
      <w:ind w:left="567"/>
    </w:pPr>
    <w:rPr>
      <w:szCs w:val="22"/>
    </w:rPr>
  </w:style>
  <w:style w:type="paragraph" w:customStyle="1" w:styleId="TOCBase">
    <w:name w:val="TOC Base"/>
    <w:rsid w:val="00A72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C4F"/>
    <w:pPr>
      <w:tabs>
        <w:tab w:val="right" w:leader="dot" w:pos="9072"/>
      </w:tabs>
      <w:spacing w:before="40" w:after="40"/>
      <w:ind w:left="284"/>
    </w:pPr>
    <w:rPr>
      <w:rFonts w:ascii="Times New Roman" w:hAnsi="Times New Roman"/>
    </w:rPr>
  </w:style>
  <w:style w:type="paragraph" w:styleId="TOC1">
    <w:name w:val="toc 1"/>
    <w:basedOn w:val="TOCBase"/>
    <w:next w:val="Normal"/>
    <w:rsid w:val="00A72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C4F"/>
    <w:rPr>
      <w:rFonts w:ascii="Times New Roman" w:eastAsia="Times New Roman" w:hAnsi="Times New Roman" w:cs="Times New Roman"/>
      <w:sz w:val="16"/>
      <w:lang w:eastAsia="en-US"/>
    </w:rPr>
  </w:style>
  <w:style w:type="paragraph" w:styleId="Title">
    <w:name w:val="Title"/>
    <w:basedOn w:val="HeadingBase"/>
    <w:link w:val="TitleChar"/>
    <w:qFormat/>
    <w:rsid w:val="00A72C4F"/>
    <w:pPr>
      <w:spacing w:before="5040"/>
      <w:jc w:val="center"/>
    </w:pPr>
    <w:rPr>
      <w:sz w:val="48"/>
      <w:szCs w:val="72"/>
      <w:lang w:val="en-US"/>
    </w:rPr>
  </w:style>
  <w:style w:type="character" w:customStyle="1" w:styleId="TitleChar">
    <w:name w:val="Title Char"/>
    <w:basedOn w:val="DefaultParagraphFont"/>
    <w:link w:val="Title"/>
    <w:rsid w:val="00A72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C4F"/>
    <w:pPr>
      <w:tabs>
        <w:tab w:val="left" w:pos="3600"/>
        <w:tab w:val="left" w:pos="3958"/>
      </w:tabs>
    </w:pPr>
  </w:style>
  <w:style w:type="paragraph" w:styleId="List">
    <w:name w:val="List"/>
    <w:basedOn w:val="BodyText"/>
    <w:next w:val="BodyText"/>
    <w:rsid w:val="00A72C4F"/>
    <w:pPr>
      <w:tabs>
        <w:tab w:val="left" w:pos="340"/>
      </w:tabs>
      <w:spacing w:before="60" w:after="60"/>
      <w:ind w:left="340" w:hanging="340"/>
    </w:pPr>
  </w:style>
  <w:style w:type="paragraph" w:customStyle="1" w:styleId="Note">
    <w:name w:val="Note"/>
    <w:basedOn w:val="BodyText"/>
    <w:rsid w:val="00A72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C4F"/>
    <w:pPr>
      <w:framePr w:wrap="auto" w:hAnchor="text" w:y="6049"/>
    </w:pPr>
    <w:rPr>
      <w:color w:val="000000"/>
      <w:sz w:val="40"/>
    </w:rPr>
  </w:style>
  <w:style w:type="paragraph" w:customStyle="1" w:styleId="TOCTitle">
    <w:name w:val="TOCTitle"/>
    <w:basedOn w:val="Heading1"/>
    <w:rsid w:val="00A72C4F"/>
    <w:pPr>
      <w:spacing w:after="240"/>
      <w:jc w:val="center"/>
      <w:outlineLvl w:val="9"/>
    </w:pPr>
    <w:rPr>
      <w:caps/>
    </w:rPr>
  </w:style>
  <w:style w:type="paragraph" w:customStyle="1" w:styleId="Version">
    <w:name w:val="Version"/>
    <w:rsid w:val="00A72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C4F"/>
    <w:pPr>
      <w:numPr>
        <w:numId w:val="12"/>
      </w:numPr>
      <w:tabs>
        <w:tab w:val="clear" w:pos="680"/>
      </w:tabs>
    </w:pPr>
  </w:style>
  <w:style w:type="paragraph" w:styleId="Index1">
    <w:name w:val="index 1"/>
    <w:basedOn w:val="Normal"/>
    <w:next w:val="Normal"/>
    <w:semiHidden/>
    <w:rsid w:val="00A72C4F"/>
    <w:pPr>
      <w:keepNext w:val="0"/>
      <w:tabs>
        <w:tab w:val="right" w:pos="4176"/>
      </w:tabs>
      <w:ind w:left="198" w:hanging="198"/>
    </w:pPr>
    <w:rPr>
      <w:rFonts w:ascii="Garamond" w:hAnsi="Garamond"/>
    </w:rPr>
  </w:style>
  <w:style w:type="paragraph" w:styleId="IndexHeading">
    <w:name w:val="index heading"/>
    <w:basedOn w:val="Normal"/>
    <w:next w:val="Index1"/>
    <w:semiHidden/>
    <w:rsid w:val="00A72C4F"/>
    <w:pPr>
      <w:spacing w:before="120" w:after="120"/>
    </w:pPr>
    <w:rPr>
      <w:rFonts w:ascii="Arial" w:hAnsi="Arial"/>
      <w:b/>
      <w:color w:val="918585"/>
      <w:sz w:val="24"/>
    </w:rPr>
  </w:style>
  <w:style w:type="paragraph" w:styleId="Header">
    <w:name w:val="header"/>
    <w:basedOn w:val="Normal"/>
    <w:link w:val="HeaderChar"/>
    <w:rsid w:val="00A72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C4F"/>
    <w:rPr>
      <w:rFonts w:ascii="Times New Roman" w:eastAsia="Times New Roman" w:hAnsi="Times New Roman" w:cs="Times New Roman"/>
      <w:sz w:val="16"/>
      <w:szCs w:val="20"/>
      <w:lang w:val="en-GB" w:eastAsia="en-US"/>
    </w:rPr>
  </w:style>
  <w:style w:type="paragraph" w:customStyle="1" w:styleId="Chapter">
    <w:name w:val="Chapter"/>
    <w:basedOn w:val="Normal"/>
    <w:rsid w:val="00A72C4F"/>
    <w:pPr>
      <w:spacing w:before="240"/>
    </w:pPr>
    <w:rPr>
      <w:rFonts w:ascii="Times New Roman" w:hAnsi="Times New Roman"/>
      <w:smallCaps/>
      <w:spacing w:val="80"/>
      <w:sz w:val="28"/>
    </w:rPr>
  </w:style>
  <w:style w:type="paragraph" w:customStyle="1" w:styleId="InChapter">
    <w:name w:val="InChapter"/>
    <w:basedOn w:val="Heading3"/>
    <w:rsid w:val="00A72C4F"/>
    <w:pPr>
      <w:spacing w:after="240"/>
      <w:outlineLvl w:val="9"/>
    </w:pPr>
    <w:rPr>
      <w:noProof/>
    </w:rPr>
  </w:style>
  <w:style w:type="paragraph" w:styleId="Index2">
    <w:name w:val="index 2"/>
    <w:basedOn w:val="Normal"/>
    <w:next w:val="Normal"/>
    <w:semiHidden/>
    <w:rsid w:val="00A72C4F"/>
    <w:pPr>
      <w:tabs>
        <w:tab w:val="right" w:pos="4176"/>
      </w:tabs>
      <w:ind w:left="568" w:hanging="284"/>
    </w:pPr>
    <w:rPr>
      <w:rFonts w:ascii="Garamond" w:hAnsi="Garamond"/>
    </w:rPr>
  </w:style>
  <w:style w:type="paragraph" w:customStyle="1" w:styleId="Byline">
    <w:name w:val="Byline"/>
    <w:rsid w:val="00A72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C4F"/>
    <w:pPr>
      <w:tabs>
        <w:tab w:val="clear" w:pos="3600"/>
        <w:tab w:val="clear" w:pos="3958"/>
      </w:tabs>
      <w:jc w:val="right"/>
    </w:pPr>
  </w:style>
  <w:style w:type="paragraph" w:styleId="Caption">
    <w:name w:val="caption"/>
    <w:basedOn w:val="BodyText"/>
    <w:next w:val="Normal"/>
    <w:qFormat/>
    <w:rsid w:val="00A72C4F"/>
    <w:pPr>
      <w:framePr w:w="2268" w:hSpace="181" w:vSpace="181" w:wrap="around" w:vAnchor="text" w:hAnchor="page" w:x="1135" w:y="285" w:anchorLock="1"/>
    </w:pPr>
    <w:rPr>
      <w:i/>
    </w:rPr>
  </w:style>
  <w:style w:type="paragraph" w:customStyle="1" w:styleId="MiniTOCTitle">
    <w:name w:val="MiniTOCTitle"/>
    <w:basedOn w:val="Heading4"/>
    <w:rsid w:val="00A72C4F"/>
    <w:pPr>
      <w:spacing w:before="240"/>
      <w:outlineLvl w:val="9"/>
    </w:pPr>
    <w:rPr>
      <w:noProof/>
      <w:sz w:val="24"/>
    </w:rPr>
  </w:style>
  <w:style w:type="paragraph" w:customStyle="1" w:styleId="MiniTOCItem">
    <w:name w:val="MiniTOCItem"/>
    <w:basedOn w:val="ListBullet"/>
    <w:rsid w:val="00A72C4F"/>
    <w:pPr>
      <w:numPr>
        <w:numId w:val="0"/>
      </w:numPr>
      <w:tabs>
        <w:tab w:val="right" w:leader="dot" w:pos="6521"/>
      </w:tabs>
      <w:spacing w:before="0" w:after="0"/>
    </w:pPr>
  </w:style>
  <w:style w:type="paragraph" w:customStyle="1" w:styleId="TOFTitle">
    <w:name w:val="TOFTitle"/>
    <w:basedOn w:val="TOCTitle"/>
    <w:rsid w:val="00A72C4F"/>
  </w:style>
  <w:style w:type="paragraph" w:styleId="TableofFigures">
    <w:name w:val="table of figures"/>
    <w:basedOn w:val="Normal"/>
    <w:next w:val="Normal"/>
    <w:semiHidden/>
    <w:rsid w:val="00A72C4F"/>
    <w:pPr>
      <w:tabs>
        <w:tab w:val="right" w:leader="dot" w:pos="9072"/>
      </w:tabs>
      <w:ind w:left="970" w:hanging="403"/>
    </w:pPr>
    <w:rPr>
      <w:rFonts w:ascii="Times New Roman" w:hAnsi="Times New Roman"/>
      <w:b/>
    </w:rPr>
  </w:style>
  <w:style w:type="paragraph" w:styleId="ListNumber">
    <w:name w:val="List Number"/>
    <w:basedOn w:val="List"/>
    <w:rsid w:val="00A72C4F"/>
    <w:pPr>
      <w:numPr>
        <w:numId w:val="14"/>
      </w:numPr>
      <w:tabs>
        <w:tab w:val="clear" w:pos="340"/>
      </w:tabs>
    </w:pPr>
  </w:style>
  <w:style w:type="character" w:customStyle="1" w:styleId="WingdingSymbols">
    <w:name w:val="Wingding Symbols"/>
    <w:rsid w:val="00A72C4F"/>
    <w:rPr>
      <w:rFonts w:ascii="Wingdings" w:hAnsi="Wingdings"/>
    </w:rPr>
  </w:style>
  <w:style w:type="paragraph" w:customStyle="1" w:styleId="TableHeading">
    <w:name w:val="Table Heading"/>
    <w:basedOn w:val="HeadingBase"/>
    <w:rsid w:val="00A72C4F"/>
    <w:pPr>
      <w:keepLines/>
      <w:pBdr>
        <w:bottom w:val="single" w:sz="6" w:space="1" w:color="918585"/>
      </w:pBdr>
      <w:spacing w:before="240"/>
    </w:pPr>
  </w:style>
  <w:style w:type="character" w:customStyle="1" w:styleId="HotSpot">
    <w:name w:val="HotSpot"/>
    <w:rsid w:val="00A72C4F"/>
    <w:rPr>
      <w:color w:val="0033CC"/>
      <w:u w:val="none"/>
    </w:rPr>
  </w:style>
  <w:style w:type="paragraph" w:customStyle="1" w:styleId="BodyTextRight">
    <w:name w:val="Body Text Right"/>
    <w:basedOn w:val="BodyText"/>
    <w:rsid w:val="00A72C4F"/>
    <w:pPr>
      <w:spacing w:before="0" w:after="0"/>
      <w:jc w:val="right"/>
    </w:pPr>
  </w:style>
  <w:style w:type="paragraph" w:styleId="Index3">
    <w:name w:val="index 3"/>
    <w:basedOn w:val="ListNumber2"/>
    <w:next w:val="Normal"/>
    <w:semiHidden/>
    <w:rsid w:val="00A72C4F"/>
    <w:pPr>
      <w:numPr>
        <w:numId w:val="0"/>
      </w:numPr>
      <w:tabs>
        <w:tab w:val="right" w:leader="dot" w:pos="4176"/>
      </w:tabs>
    </w:pPr>
  </w:style>
  <w:style w:type="paragraph" w:styleId="ListNumber2">
    <w:name w:val="List Number 2"/>
    <w:basedOn w:val="List2"/>
    <w:rsid w:val="00A72C4F"/>
    <w:pPr>
      <w:numPr>
        <w:numId w:val="9"/>
      </w:numPr>
      <w:tabs>
        <w:tab w:val="clear" w:pos="1060"/>
      </w:tabs>
    </w:pPr>
  </w:style>
  <w:style w:type="paragraph" w:customStyle="1" w:styleId="MarginNote">
    <w:name w:val="Margin Note"/>
    <w:basedOn w:val="BodyText"/>
    <w:rsid w:val="00A72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C4F"/>
    <w:rPr>
      <w:sz w:val="32"/>
    </w:rPr>
  </w:style>
  <w:style w:type="paragraph" w:customStyle="1" w:styleId="HeadingProcedure">
    <w:name w:val="Heading Procedure"/>
    <w:basedOn w:val="HeadingBase"/>
    <w:next w:val="Normal"/>
    <w:rsid w:val="00A72C4F"/>
    <w:pPr>
      <w:tabs>
        <w:tab w:val="left" w:pos="0"/>
      </w:tabs>
      <w:spacing w:before="120" w:after="60"/>
    </w:pPr>
    <w:rPr>
      <w:i/>
      <w:color w:val="918585"/>
      <w:sz w:val="22"/>
    </w:rPr>
  </w:style>
  <w:style w:type="paragraph" w:customStyle="1" w:styleId="TableBodyText">
    <w:name w:val="Table Body Text"/>
    <w:basedOn w:val="BodyText"/>
    <w:rsid w:val="00A72C4F"/>
    <w:pPr>
      <w:spacing w:before="60" w:after="60"/>
    </w:pPr>
  </w:style>
  <w:style w:type="paragraph" w:styleId="ListContinue">
    <w:name w:val="List Continue"/>
    <w:basedOn w:val="List"/>
    <w:rsid w:val="00A72C4F"/>
    <w:pPr>
      <w:ind w:firstLine="0"/>
    </w:pPr>
  </w:style>
  <w:style w:type="paragraph" w:customStyle="1" w:styleId="ListNote">
    <w:name w:val="List Note"/>
    <w:basedOn w:val="List"/>
    <w:rsid w:val="00A72C4F"/>
    <w:pPr>
      <w:pBdr>
        <w:top w:val="single" w:sz="6" w:space="2" w:color="918585"/>
        <w:bottom w:val="single" w:sz="6" w:space="2" w:color="918585"/>
      </w:pBdr>
      <w:tabs>
        <w:tab w:val="left" w:pos="1021"/>
      </w:tabs>
      <w:ind w:firstLine="0"/>
    </w:pPr>
  </w:style>
  <w:style w:type="paragraph" w:customStyle="1" w:styleId="Warning">
    <w:name w:val="Warning"/>
    <w:basedOn w:val="BodyText"/>
    <w:rsid w:val="00A72C4F"/>
    <w:pPr>
      <w:shd w:val="clear" w:color="auto" w:fill="D9D9D9"/>
      <w:tabs>
        <w:tab w:val="left" w:pos="992"/>
      </w:tabs>
      <w:ind w:left="119" w:right="119"/>
    </w:pPr>
    <w:rPr>
      <w:sz w:val="20"/>
    </w:rPr>
  </w:style>
  <w:style w:type="paragraph" w:customStyle="1" w:styleId="MarginIcons">
    <w:name w:val="Margin Icons"/>
    <w:basedOn w:val="BodyText"/>
    <w:rsid w:val="00A72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C4F"/>
    <w:rPr>
      <w:rFonts w:ascii="Courier New" w:hAnsi="Courier New"/>
    </w:rPr>
  </w:style>
  <w:style w:type="paragraph" w:customStyle="1" w:styleId="NoteBullet">
    <w:name w:val="Note Bullet"/>
    <w:basedOn w:val="Note"/>
    <w:rsid w:val="00A72C4F"/>
    <w:pPr>
      <w:tabs>
        <w:tab w:val="clear" w:pos="680"/>
      </w:tabs>
      <w:spacing w:before="60" w:after="60"/>
    </w:pPr>
  </w:style>
  <w:style w:type="paragraph" w:customStyle="1" w:styleId="SubHeading2">
    <w:name w:val="SubHeading2"/>
    <w:basedOn w:val="HeadingBase"/>
    <w:rsid w:val="00A72C4F"/>
    <w:pPr>
      <w:spacing w:before="240" w:after="60"/>
    </w:pPr>
    <w:rPr>
      <w:sz w:val="20"/>
    </w:rPr>
  </w:style>
  <w:style w:type="paragraph" w:customStyle="1" w:styleId="SubHeading1">
    <w:name w:val="SubHeading1"/>
    <w:basedOn w:val="HeadingBase"/>
    <w:rsid w:val="00A72C4F"/>
    <w:pPr>
      <w:spacing w:before="240" w:after="60"/>
    </w:pPr>
    <w:rPr>
      <w:color w:val="918585"/>
      <w:sz w:val="22"/>
    </w:rPr>
  </w:style>
  <w:style w:type="paragraph" w:customStyle="1" w:styleId="SideHeading">
    <w:name w:val="Side Heading"/>
    <w:basedOn w:val="HeadingBase"/>
    <w:rsid w:val="00A72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C4F"/>
    <w:pPr>
      <w:numPr>
        <w:numId w:val="10"/>
      </w:numPr>
    </w:pPr>
  </w:style>
  <w:style w:type="paragraph" w:styleId="PlainText">
    <w:name w:val="Plain Text"/>
    <w:basedOn w:val="Normal"/>
    <w:link w:val="PlainTextChar"/>
    <w:rsid w:val="00A72C4F"/>
    <w:rPr>
      <w:sz w:val="20"/>
    </w:rPr>
  </w:style>
  <w:style w:type="character" w:customStyle="1" w:styleId="PlainTextChar">
    <w:name w:val="Plain Text Char"/>
    <w:basedOn w:val="DefaultParagraphFont"/>
    <w:link w:val="PlainText"/>
    <w:rsid w:val="00A72C4F"/>
    <w:rPr>
      <w:rFonts w:ascii="Courier New" w:eastAsia="Times New Roman" w:hAnsi="Courier New" w:cs="Times New Roman"/>
      <w:sz w:val="20"/>
      <w:szCs w:val="20"/>
      <w:lang w:eastAsia="en-US"/>
    </w:rPr>
  </w:style>
  <w:style w:type="character" w:customStyle="1" w:styleId="MenuOption">
    <w:name w:val="Menu Option"/>
    <w:basedOn w:val="DefaultParagraphFont"/>
    <w:rsid w:val="00A72C4F"/>
    <w:rPr>
      <w:b/>
      <w:smallCaps/>
    </w:rPr>
  </w:style>
  <w:style w:type="paragraph" w:customStyle="1" w:styleId="TableListNumber">
    <w:name w:val="Table List Number"/>
    <w:basedOn w:val="ListNumber"/>
    <w:rsid w:val="00A72C4F"/>
    <w:pPr>
      <w:numPr>
        <w:numId w:val="0"/>
      </w:numPr>
    </w:pPr>
  </w:style>
  <w:style w:type="paragraph" w:styleId="TOC4">
    <w:name w:val="toc 4"/>
    <w:basedOn w:val="TOCBase"/>
    <w:next w:val="Normal"/>
    <w:semiHidden/>
    <w:rsid w:val="00A72C4F"/>
    <w:pPr>
      <w:tabs>
        <w:tab w:val="right" w:leader="dot" w:pos="9071"/>
      </w:tabs>
      <w:ind w:left="1701"/>
    </w:pPr>
  </w:style>
  <w:style w:type="paragraph" w:customStyle="1" w:styleId="ListAlpha">
    <w:name w:val="List Alpha"/>
    <w:basedOn w:val="List"/>
    <w:rsid w:val="00A72C4F"/>
    <w:pPr>
      <w:numPr>
        <w:numId w:val="8"/>
      </w:numPr>
    </w:pPr>
  </w:style>
  <w:style w:type="paragraph" w:customStyle="1" w:styleId="ListAlpha2">
    <w:name w:val="List Alpha 2"/>
    <w:basedOn w:val="List2"/>
    <w:rsid w:val="00A72C4F"/>
    <w:pPr>
      <w:numPr>
        <w:numId w:val="7"/>
      </w:numPr>
    </w:pPr>
  </w:style>
  <w:style w:type="paragraph" w:styleId="List2">
    <w:name w:val="List 2"/>
    <w:basedOn w:val="BodyText"/>
    <w:rsid w:val="00A72C4F"/>
    <w:pPr>
      <w:tabs>
        <w:tab w:val="left" w:pos="680"/>
      </w:tabs>
      <w:spacing w:before="60" w:after="60"/>
      <w:ind w:left="680" w:hanging="340"/>
    </w:pPr>
  </w:style>
  <w:style w:type="paragraph" w:styleId="List3">
    <w:name w:val="List 3"/>
    <w:basedOn w:val="BodyText"/>
    <w:rsid w:val="00A72C4F"/>
    <w:pPr>
      <w:tabs>
        <w:tab w:val="left" w:pos="1021"/>
      </w:tabs>
      <w:spacing w:before="60" w:after="60"/>
      <w:ind w:left="1020" w:hanging="340"/>
    </w:pPr>
  </w:style>
  <w:style w:type="paragraph" w:styleId="List4">
    <w:name w:val="List 4"/>
    <w:basedOn w:val="BodyText"/>
    <w:rsid w:val="00A72C4F"/>
    <w:pPr>
      <w:tabs>
        <w:tab w:val="left" w:pos="1361"/>
      </w:tabs>
      <w:spacing w:before="60" w:after="60"/>
      <w:ind w:left="1361" w:hanging="340"/>
    </w:pPr>
  </w:style>
  <w:style w:type="paragraph" w:styleId="List5">
    <w:name w:val="List 5"/>
    <w:basedOn w:val="BodyText"/>
    <w:rsid w:val="00A72C4F"/>
    <w:pPr>
      <w:tabs>
        <w:tab w:val="left" w:pos="1701"/>
      </w:tabs>
      <w:spacing w:before="60" w:after="60"/>
      <w:ind w:left="1701" w:hanging="340"/>
    </w:pPr>
  </w:style>
  <w:style w:type="paragraph" w:styleId="ListBullet3">
    <w:name w:val="List Bullet 3"/>
    <w:basedOn w:val="List3"/>
    <w:rsid w:val="00A72C4F"/>
    <w:pPr>
      <w:numPr>
        <w:numId w:val="13"/>
      </w:numPr>
      <w:tabs>
        <w:tab w:val="clear" w:pos="1021"/>
      </w:tabs>
      <w:ind w:left="1037" w:hanging="357"/>
    </w:pPr>
  </w:style>
  <w:style w:type="paragraph" w:styleId="ListBullet4">
    <w:name w:val="List Bullet 4"/>
    <w:basedOn w:val="List4"/>
    <w:rsid w:val="00A72C4F"/>
    <w:pPr>
      <w:numPr>
        <w:numId w:val="2"/>
      </w:numPr>
      <w:tabs>
        <w:tab w:val="clear" w:pos="1361"/>
      </w:tabs>
    </w:pPr>
  </w:style>
  <w:style w:type="paragraph" w:styleId="ListBullet5">
    <w:name w:val="List Bullet 5"/>
    <w:basedOn w:val="List5"/>
    <w:rsid w:val="00A72C4F"/>
    <w:pPr>
      <w:numPr>
        <w:numId w:val="3"/>
      </w:numPr>
    </w:pPr>
  </w:style>
  <w:style w:type="paragraph" w:styleId="ListContinue2">
    <w:name w:val="List Continue 2"/>
    <w:basedOn w:val="List2"/>
    <w:rsid w:val="00A72C4F"/>
    <w:pPr>
      <w:ind w:firstLine="0"/>
    </w:pPr>
  </w:style>
  <w:style w:type="paragraph" w:styleId="ListContinue3">
    <w:name w:val="List Continue 3"/>
    <w:basedOn w:val="List3"/>
    <w:rsid w:val="00A72C4F"/>
    <w:pPr>
      <w:ind w:left="1021" w:firstLine="0"/>
    </w:pPr>
  </w:style>
  <w:style w:type="paragraph" w:styleId="ListContinue4">
    <w:name w:val="List Continue 4"/>
    <w:basedOn w:val="List4"/>
    <w:rsid w:val="00A72C4F"/>
    <w:pPr>
      <w:ind w:firstLine="0"/>
    </w:pPr>
  </w:style>
  <w:style w:type="paragraph" w:styleId="ListContinue5">
    <w:name w:val="List Continue 5"/>
    <w:basedOn w:val="List5"/>
    <w:rsid w:val="00A72C4F"/>
    <w:pPr>
      <w:ind w:firstLine="0"/>
    </w:pPr>
  </w:style>
  <w:style w:type="paragraph" w:styleId="ListNumber3">
    <w:name w:val="List Number 3"/>
    <w:basedOn w:val="List3"/>
    <w:rsid w:val="00A72C4F"/>
    <w:pPr>
      <w:numPr>
        <w:numId w:val="4"/>
      </w:numPr>
    </w:pPr>
  </w:style>
  <w:style w:type="paragraph" w:styleId="ListNumber4">
    <w:name w:val="List Number 4"/>
    <w:basedOn w:val="List4"/>
    <w:rsid w:val="00A72C4F"/>
    <w:pPr>
      <w:numPr>
        <w:numId w:val="5"/>
      </w:numPr>
    </w:pPr>
  </w:style>
  <w:style w:type="paragraph" w:styleId="ListNumber5">
    <w:name w:val="List Number 5"/>
    <w:basedOn w:val="List5"/>
    <w:rsid w:val="00A72C4F"/>
    <w:pPr>
      <w:numPr>
        <w:numId w:val="6"/>
      </w:numPr>
    </w:pPr>
  </w:style>
  <w:style w:type="paragraph" w:styleId="BlockText">
    <w:name w:val="Block Text"/>
    <w:basedOn w:val="Normal"/>
    <w:rsid w:val="00A72C4F"/>
    <w:pPr>
      <w:spacing w:after="120"/>
      <w:ind w:left="1440" w:right="1440"/>
    </w:pPr>
  </w:style>
  <w:style w:type="character" w:customStyle="1" w:styleId="Subscript">
    <w:name w:val="Subscript"/>
    <w:basedOn w:val="DefaultParagraphFont"/>
    <w:rsid w:val="00A72C4F"/>
    <w:rPr>
      <w:sz w:val="16"/>
      <w:vertAlign w:val="subscript"/>
    </w:rPr>
  </w:style>
  <w:style w:type="character" w:customStyle="1" w:styleId="Superscript">
    <w:name w:val="Superscript"/>
    <w:basedOn w:val="DefaultParagraphFont"/>
    <w:rsid w:val="00A72C4F"/>
    <w:rPr>
      <w:sz w:val="16"/>
      <w:vertAlign w:val="superscript"/>
    </w:rPr>
  </w:style>
  <w:style w:type="character" w:customStyle="1" w:styleId="Symbols">
    <w:name w:val="Symbols"/>
    <w:basedOn w:val="DefaultParagraphFont"/>
    <w:rsid w:val="00A72C4F"/>
    <w:rPr>
      <w:rFonts w:ascii="Symbol" w:hAnsi="Symbol"/>
    </w:rPr>
  </w:style>
  <w:style w:type="character" w:customStyle="1" w:styleId="MenuOptions">
    <w:name w:val="Menu Options"/>
    <w:basedOn w:val="DefaultParagraphFont"/>
    <w:rsid w:val="00A72C4F"/>
    <w:rPr>
      <w:rFonts w:ascii="Arial Narrow" w:hAnsi="Arial Narrow"/>
      <w:smallCaps/>
    </w:rPr>
  </w:style>
  <w:style w:type="character" w:customStyle="1" w:styleId="Buttons">
    <w:name w:val="Buttons"/>
    <w:basedOn w:val="DefaultParagraphFont"/>
    <w:rsid w:val="00A72C4F"/>
    <w:rPr>
      <w:b/>
    </w:rPr>
  </w:style>
  <w:style w:type="character" w:customStyle="1" w:styleId="Underlined">
    <w:name w:val="Underlined"/>
    <w:basedOn w:val="DefaultParagraphFont"/>
    <w:rsid w:val="00A72C4F"/>
    <w:rPr>
      <w:u w:val="single"/>
    </w:rPr>
  </w:style>
  <w:style w:type="paragraph" w:customStyle="1" w:styleId="TableBodyTextRight">
    <w:name w:val="Table Body Text Right"/>
    <w:basedOn w:val="TableBodyText"/>
    <w:rsid w:val="00A72C4F"/>
    <w:pPr>
      <w:widowControl w:val="0"/>
      <w:autoSpaceDE w:val="0"/>
      <w:autoSpaceDN w:val="0"/>
      <w:adjustRightInd w:val="0"/>
      <w:jc w:val="right"/>
    </w:pPr>
    <w:rPr>
      <w:rFonts w:cs="Arial"/>
      <w:szCs w:val="18"/>
    </w:rPr>
  </w:style>
  <w:style w:type="paragraph" w:customStyle="1" w:styleId="CopyrightText">
    <w:name w:val="Copyright Text"/>
    <w:basedOn w:val="BodyText"/>
    <w:rsid w:val="00A72C4F"/>
    <w:rPr>
      <w:sz w:val="18"/>
    </w:rPr>
  </w:style>
  <w:style w:type="paragraph" w:customStyle="1" w:styleId="BodySmallRight">
    <w:name w:val="Body Small Right"/>
    <w:basedOn w:val="BodyTextRight"/>
    <w:rsid w:val="00A72C4F"/>
    <w:rPr>
      <w:sz w:val="18"/>
      <w:szCs w:val="18"/>
    </w:rPr>
  </w:style>
  <w:style w:type="paragraph" w:customStyle="1" w:styleId="MarginEdition">
    <w:name w:val="Margin Edition"/>
    <w:basedOn w:val="MarginNote"/>
    <w:rsid w:val="00A72C4F"/>
    <w:pPr>
      <w:spacing w:before="0" w:after="0"/>
    </w:pPr>
    <w:rPr>
      <w:rFonts w:ascii="Times New Roman" w:hAnsi="Times New Roman"/>
      <w:color w:val="999999"/>
    </w:rPr>
  </w:style>
  <w:style w:type="paragraph" w:customStyle="1" w:styleId="Spacer">
    <w:name w:val="Spacer"/>
    <w:basedOn w:val="Normal"/>
    <w:rsid w:val="00A72C4F"/>
    <w:rPr>
      <w:sz w:val="2"/>
      <w:szCs w:val="2"/>
    </w:rPr>
  </w:style>
  <w:style w:type="character" w:customStyle="1" w:styleId="Small">
    <w:name w:val="Small"/>
    <w:basedOn w:val="DefaultParagraphFont"/>
    <w:rsid w:val="00A72C4F"/>
    <w:rPr>
      <w:sz w:val="16"/>
    </w:rPr>
  </w:style>
  <w:style w:type="paragraph" w:customStyle="1" w:styleId="WideTable">
    <w:name w:val="Wide Table"/>
    <w:basedOn w:val="Normal"/>
    <w:rsid w:val="00A72C4F"/>
    <w:pPr>
      <w:ind w:left="-1418"/>
    </w:pPr>
    <w:rPr>
      <w:sz w:val="2"/>
      <w:szCs w:val="2"/>
    </w:rPr>
  </w:style>
  <w:style w:type="character" w:styleId="PageNumber">
    <w:name w:val="page number"/>
    <w:basedOn w:val="DefaultParagraphFont"/>
    <w:rsid w:val="00A72C4F"/>
  </w:style>
  <w:style w:type="paragraph" w:styleId="Quote">
    <w:name w:val="Quote"/>
    <w:basedOn w:val="Heading1"/>
    <w:link w:val="QuoteChar"/>
    <w:qFormat/>
    <w:rsid w:val="00A72C4F"/>
    <w:rPr>
      <w:b w:val="0"/>
      <w:sz w:val="72"/>
      <w:szCs w:val="72"/>
      <w:lang w:val="en-NZ"/>
    </w:rPr>
  </w:style>
  <w:style w:type="character" w:customStyle="1" w:styleId="QuoteChar">
    <w:name w:val="Quote Char"/>
    <w:basedOn w:val="DefaultParagraphFont"/>
    <w:link w:val="Quote"/>
    <w:rsid w:val="00A72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C4F"/>
    <w:pPr>
      <w:pageBreakBefore/>
    </w:pPr>
  </w:style>
  <w:style w:type="paragraph" w:customStyle="1" w:styleId="Border">
    <w:name w:val="Border"/>
    <w:basedOn w:val="Normal"/>
    <w:qFormat/>
    <w:rsid w:val="00A72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C4F"/>
    <w:rPr>
      <w:b/>
      <w:bCs/>
      <w:i/>
      <w:iCs/>
      <w:color w:val="auto"/>
    </w:rPr>
  </w:style>
  <w:style w:type="paragraph" w:styleId="IntenseQuote">
    <w:name w:val="Intense Quote"/>
    <w:basedOn w:val="Normal"/>
    <w:next w:val="Normal"/>
    <w:link w:val="IntenseQuoteChar"/>
    <w:uiPriority w:val="30"/>
    <w:qFormat/>
    <w:rsid w:val="00A72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C4F"/>
    <w:rPr>
      <w:smallCaps/>
      <w:color w:val="auto"/>
      <w:u w:val="single"/>
    </w:rPr>
  </w:style>
  <w:style w:type="character" w:styleId="IntenseReference">
    <w:name w:val="Intense Reference"/>
    <w:basedOn w:val="DefaultParagraphFont"/>
    <w:uiPriority w:val="32"/>
    <w:qFormat/>
    <w:rsid w:val="00A72C4F"/>
    <w:rPr>
      <w:b/>
      <w:bCs/>
      <w:smallCaps/>
      <w:color w:val="auto"/>
      <w:spacing w:val="5"/>
      <w:u w:val="single"/>
    </w:rPr>
  </w:style>
  <w:style w:type="paragraph" w:customStyle="1" w:styleId="2ColumnHeading">
    <w:name w:val="2Column Heading"/>
    <w:basedOn w:val="BodyText"/>
    <w:qFormat/>
    <w:rsid w:val="00A72C4F"/>
    <w:pPr>
      <w:spacing w:after="60"/>
      <w:ind w:left="-2268"/>
    </w:pPr>
    <w:rPr>
      <w:b/>
    </w:rPr>
  </w:style>
  <w:style w:type="paragraph" w:customStyle="1" w:styleId="Heading1TOC">
    <w:name w:val="Heading1 TOC"/>
    <w:basedOn w:val="Normal"/>
    <w:qFormat/>
    <w:rsid w:val="00A72C4F"/>
    <w:pPr>
      <w:spacing w:before="240" w:after="120"/>
    </w:pPr>
    <w:rPr>
      <w:rFonts w:ascii="Times New Roman" w:hAnsi="Times New Roman"/>
      <w:b/>
      <w:sz w:val="32"/>
    </w:rPr>
  </w:style>
  <w:style w:type="paragraph" w:customStyle="1" w:styleId="Heading2TOC">
    <w:name w:val="Heading2 TOC"/>
    <w:basedOn w:val="Normal"/>
    <w:qFormat/>
    <w:rsid w:val="00A72C4F"/>
    <w:pPr>
      <w:spacing w:before="240" w:after="60"/>
    </w:pPr>
    <w:rPr>
      <w:rFonts w:ascii="Times New Roman" w:hAnsi="Times New Roman"/>
      <w:b/>
      <w:sz w:val="28"/>
    </w:rPr>
  </w:style>
  <w:style w:type="character" w:customStyle="1" w:styleId="Underline">
    <w:name w:val="Underline"/>
    <w:basedOn w:val="DefaultParagraphFont"/>
    <w:qFormat/>
    <w:rsid w:val="00A72C4F"/>
    <w:rPr>
      <w:u w:val="single"/>
    </w:rPr>
  </w:style>
  <w:style w:type="character" w:customStyle="1" w:styleId="BoldandItalics">
    <w:name w:val="Bold and Italics"/>
    <w:qFormat/>
    <w:rsid w:val="00A72C4F"/>
    <w:rPr>
      <w:b/>
      <w:i/>
      <w:u w:val="none"/>
    </w:rPr>
  </w:style>
  <w:style w:type="paragraph" w:styleId="BalloonText">
    <w:name w:val="Balloon Text"/>
    <w:basedOn w:val="Normal"/>
    <w:link w:val="BalloonTextChar"/>
    <w:rsid w:val="00A72C4F"/>
    <w:rPr>
      <w:rFonts w:ascii="Tahoma" w:hAnsi="Tahoma" w:cs="Tahoma"/>
      <w:sz w:val="16"/>
      <w:szCs w:val="16"/>
    </w:rPr>
  </w:style>
  <w:style w:type="character" w:customStyle="1" w:styleId="BalloonTextChar">
    <w:name w:val="Balloon Text Char"/>
    <w:basedOn w:val="DefaultParagraphFont"/>
    <w:link w:val="BalloonText"/>
    <w:rsid w:val="00A72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C4F"/>
    <w:rPr>
      <w:b/>
      <w:color w:val="660033"/>
      <w:spacing w:val="0"/>
    </w:rPr>
  </w:style>
  <w:style w:type="paragraph" w:customStyle="1" w:styleId="Nameditemlist">
    <w:name w:val="Named item list"/>
    <w:basedOn w:val="BodyText"/>
    <w:qFormat/>
    <w:rsid w:val="00A72C4F"/>
    <w:pPr>
      <w:tabs>
        <w:tab w:val="left" w:pos="2835"/>
      </w:tabs>
      <w:ind w:left="2835" w:hanging="2835"/>
    </w:pPr>
  </w:style>
  <w:style w:type="paragraph" w:customStyle="1" w:styleId="BodyTextnopadding">
    <w:name w:val="Body Text no padding"/>
    <w:basedOn w:val="BodyText"/>
    <w:qFormat/>
    <w:rsid w:val="00A72C4F"/>
    <w:pPr>
      <w:spacing w:before="0" w:after="0"/>
    </w:pPr>
  </w:style>
  <w:style w:type="paragraph" w:customStyle="1" w:styleId="BodyTextBold">
    <w:name w:val="Body Text Bold"/>
    <w:basedOn w:val="BodyText"/>
    <w:qFormat/>
    <w:rsid w:val="00A72C4F"/>
    <w:rPr>
      <w:b/>
    </w:rPr>
  </w:style>
  <w:style w:type="character" w:styleId="Hyperlink">
    <w:name w:val="Hyperlink"/>
    <w:basedOn w:val="DefaultParagraphFont"/>
    <w:uiPriority w:val="99"/>
    <w:unhideWhenUsed/>
    <w:rsid w:val="00A07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5716</Characters>
  <Application>Microsoft Office Word</Application>
  <DocSecurity>0</DocSecurity>
  <Lines>204</Lines>
  <Paragraphs>101</Paragraphs>
  <ScaleCrop>false</ScaleCrop>
  <Company>Author-it Software Corporation Ltd.</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BSBWHS303 Participate in WHS hazard identification, risk assessment and risk control</dc:title>
  <dc:subject>Approved</dc:subject>
  <dc:creator>PwC’s Skills for Australia</dc:creator>
  <cp:keywords>Release: 1</cp:keywords>
  <dc:description>Review Date: 12 April 2008</dc:description>
  <cp:lastModifiedBy>HSD_TPCMSd.prod</cp:lastModifiedBy>
  <cp:revision>3</cp:revision>
  <dcterms:created xsi:type="dcterms:W3CDTF">2022-04-04T01:37:00Z</dcterms:created>
  <dcterms:modified xsi:type="dcterms:W3CDTF">2022-04-04T01:37:00Z</dcterms:modified>
</cp:coreProperties>
</file>