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61A" w:rsidP="001E3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BSBWHS302 Apply knowledge of WHS legislation in the workplace</w:t>
      </w:r>
      <w:r>
        <w:fldChar w:fldCharType="end"/>
      </w:r>
    </w:p>
    <w:p w:rsidR="001E361A" w:rsidP="001E361A">
      <w:pPr>
        <w:pStyle w:val="Version"/>
        <w:sectPr w:rsidSect="00C60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E65" w:rsidP="00C60E65">
      <w:pPr>
        <w:pStyle w:val="SuperHeading"/>
      </w:pPr>
      <w:r w:rsidRPr="00C60E65">
        <w:t>BSBWHS302 Apply knowledge of WHS legislation in the workplace</w:t>
      </w:r>
    </w:p>
    <w:p w:rsidR="00000000" w:rsidRPr="00C60E65" w:rsidP="00C60E65">
      <w:pPr>
        <w:pStyle w:val="Heading1"/>
      </w:pPr>
      <w:bookmarkStart w:id="1" w:name="O_646038"/>
      <w:bookmarkEnd w:id="1"/>
      <w:r w:rsidRPr="00C60E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6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rPr>
                <w:rStyle w:val="SpecialBold"/>
              </w:rPr>
              <w:t>Comments</w:t>
            </w:r>
          </w:p>
        </w:tc>
      </w:tr>
      <w:tr w:rsidTr="00C6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t>This version first released with BSB Business Services Training Package Version 1.0.</w:t>
            </w:r>
          </w:p>
        </w:tc>
      </w:tr>
    </w:tbl>
    <w:p w:rsidR="00000000" w:rsidRPr="00C60E65" w:rsidP="00C60E65">
      <w:pPr>
        <w:pStyle w:val="BodyText"/>
      </w:pPr>
    </w:p>
    <w:p w:rsidR="00000000" w:rsidRPr="00C60E65" w:rsidP="00C60E65">
      <w:pPr>
        <w:pStyle w:val="AllowPageBreak"/>
      </w:pPr>
    </w:p>
    <w:p w:rsidR="00000000" w:rsidRPr="00C60E65" w:rsidP="00C60E65">
      <w:pPr>
        <w:pStyle w:val="Heading1"/>
      </w:pPr>
      <w:bookmarkStart w:id="2" w:name="O_646039"/>
      <w:bookmarkEnd w:id="2"/>
      <w:r w:rsidRPr="00C60E65">
        <w:t>Application</w:t>
      </w:r>
    </w:p>
    <w:p w:rsidR="00000000" w:rsidRPr="00C60E65" w:rsidP="001E361A">
      <w:pPr>
        <w:pStyle w:val="BodyText"/>
      </w:pPr>
      <w:r w:rsidRPr="00C60E65">
        <w:t xml:space="preserve">This unit describes the, skills and knowledge required to understand and comply with work health and safety (WHS) Acts, regulations and codes of practice in the workplace. </w:t>
      </w:r>
    </w:p>
    <w:p w:rsidR="00000000" w:rsidRPr="00C60E65" w:rsidP="001E361A">
      <w:pPr>
        <w:pStyle w:val="BodyText"/>
      </w:pPr>
      <w:r w:rsidRPr="00C60E65">
        <w:t>This unit applies to individuals who contribute to actions to achieve compliance w</w:t>
      </w:r>
      <w:r w:rsidRPr="00C60E65">
        <w:t xml:space="preserve">ith WHS legislation as part of their WHS responsibilities, which are in addition to their main duties. </w:t>
      </w:r>
    </w:p>
    <w:p w:rsidR="00000000" w:rsidRPr="00C60E65" w:rsidP="001E361A">
      <w:pPr>
        <w:pStyle w:val="BodyText"/>
      </w:pPr>
      <w:r w:rsidRPr="00C60E65">
        <w:t xml:space="preserve">NOTE: The terms </w:t>
      </w:r>
      <w:r>
        <w:t>‘</w:t>
      </w:r>
      <w:r w:rsidRPr="00C60E65">
        <w:t>occupational health and safety</w:t>
      </w:r>
      <w:r>
        <w:t>’</w:t>
      </w:r>
      <w:r w:rsidRPr="00C60E65">
        <w:t xml:space="preserve"> (OHS) and </w:t>
      </w:r>
      <w:r>
        <w:t>‘</w:t>
      </w:r>
      <w:r w:rsidRPr="00C60E65">
        <w:t>work health and safety</w:t>
      </w:r>
      <w:r>
        <w:t>’</w:t>
      </w:r>
      <w:r w:rsidRPr="00C60E65">
        <w:t xml:space="preserve"> (WHS) are equivalent and generally either can be used in the workpl</w:t>
      </w:r>
      <w:r w:rsidRPr="00C60E65">
        <w:t xml:space="preserve">ace.  In jurisdictions where the National Model WHS Legislation has not been implemented RTOs are advised to contextualise the unit of competency by referring to the existing State/Territory OHS legislative requirements.  </w:t>
      </w:r>
    </w:p>
    <w:p w:rsidR="00000000" w:rsidRPr="00C60E65" w:rsidP="001E361A">
      <w:pPr>
        <w:pStyle w:val="BodyText"/>
      </w:pPr>
      <w:r w:rsidRPr="00C60E65">
        <w:t>No licensing, legislative, regul</w:t>
      </w:r>
      <w:r w:rsidRPr="00C60E65">
        <w:t>atory or certification requirements apply to this unit at the time of publication.</w:t>
      </w:r>
    </w:p>
    <w:p w:rsidR="00000000" w:rsidRPr="00C60E65" w:rsidP="00C60E65">
      <w:pPr>
        <w:pStyle w:val="Heading1"/>
      </w:pPr>
      <w:bookmarkStart w:id="3" w:name="O_646042"/>
      <w:bookmarkEnd w:id="3"/>
      <w:r w:rsidRPr="00C60E65">
        <w:t>Unit Sector</w:t>
      </w:r>
    </w:p>
    <w:p w:rsidR="00000000" w:rsidRPr="00C60E65" w:rsidP="001E361A">
      <w:pPr>
        <w:pStyle w:val="BodyText"/>
      </w:pPr>
      <w:r w:rsidRPr="00C60E65">
        <w:t>Regulation, Licensing and Risk – Work Health and Safety</w:t>
      </w:r>
    </w:p>
    <w:p w:rsidR="00000000" w:rsidRPr="00C60E65" w:rsidP="00C60E65">
      <w:pPr>
        <w:pStyle w:val="Heading1"/>
      </w:pPr>
      <w:bookmarkStart w:id="4" w:name="O_646043"/>
      <w:bookmarkEnd w:id="4"/>
      <w:r w:rsidRPr="00C60E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60E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rPr>
                <w:rStyle w:val="SpecialBold"/>
              </w:rPr>
              <w:t>PERFORMANCE CRITERIA</w:t>
            </w:r>
          </w:p>
        </w:tc>
      </w:tr>
      <w:tr w:rsidTr="00C60E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0E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 xml:space="preserve">1. Determine the legal framework for WHS in </w:t>
            </w:r>
            <w:r w:rsidRPr="00C60E65">
              <w:t>the workplace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t>1.1 Identify and access current WHS legislation and related</w:t>
            </w:r>
            <w:r w:rsidRPr="00C60E65">
              <w:t xml:space="preserve"> documentation relevant to the workplace, occupation and industry</w:t>
            </w:r>
          </w:p>
          <w:p w:rsidR="00000000" w:rsidRPr="00C60E65" w:rsidP="00C60E65">
            <w:pPr>
              <w:pStyle w:val="BodyText"/>
            </w:pPr>
            <w:r w:rsidRPr="00C60E65">
              <w:t>1.2 Apply knowledge of the relationship between WHS Acts, regulations and codes of practice to assist in identifying WHS legislative requirements in the workplace</w:t>
            </w:r>
          </w:p>
          <w:p w:rsidR="00000000" w:rsidRPr="00C60E65" w:rsidP="00C60E65">
            <w:pPr>
              <w:pStyle w:val="BodyText"/>
            </w:pPr>
            <w:r w:rsidRPr="00C60E65">
              <w:t>1.3 Identify duty holders</w:t>
            </w:r>
          </w:p>
          <w:p w:rsidR="00000000" w:rsidRPr="00C60E65" w:rsidP="00C60E65">
            <w:pPr>
              <w:pStyle w:val="BodyText"/>
            </w:pPr>
            <w:r w:rsidRPr="00C60E65">
              <w:t>1</w:t>
            </w:r>
            <w:r w:rsidRPr="00C60E65">
              <w:t>.4 Identify legal obligations and duties for who to consult with regarding training of workers and health and safety representatives</w:t>
            </w:r>
          </w:p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1.5 Identify consequences of non-compliance with WHS Acts, regulations, codes of practice, standards and organisational WHS</w:t>
            </w:r>
            <w:r w:rsidRPr="00C60E65">
              <w:t xml:space="preserve"> policies, procedures, processes and systems</w:t>
            </w:r>
          </w:p>
        </w:tc>
      </w:tr>
      <w:tr w:rsidTr="00C60E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2. Contribute to activity that reflects WHS legislative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t>2.1 Contribute to monitoring compliance with legislation</w:t>
            </w:r>
          </w:p>
          <w:p w:rsidR="00000000" w:rsidRPr="00C60E65" w:rsidP="00C60E65">
            <w:pPr>
              <w:pStyle w:val="BodyText"/>
            </w:pPr>
            <w:r w:rsidRPr="00C60E65">
              <w:t>2.2 Contribute to ensuring that workplace complies with legislation</w:t>
            </w:r>
          </w:p>
          <w:p w:rsidR="00000000" w:rsidRPr="00C60E65" w:rsidP="00C60E65">
            <w:pPr>
              <w:pStyle w:val="BodyText"/>
            </w:pPr>
            <w:r w:rsidRPr="00C60E65">
              <w:t>2.3 Identify and take appropriate action on non</w:t>
            </w:r>
            <w:r w:rsidRPr="00C60E65">
              <w:noBreakHyphen/>
              <w:t>compliance with legislation</w:t>
            </w:r>
          </w:p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2.4 Recognise limits of own expertise and legal duties, and access help and advice when required</w:t>
            </w:r>
          </w:p>
        </w:tc>
      </w:tr>
      <w:tr w:rsidTr="00C60E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3. Keep up-to-date with legislation and relevant publications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t>3.1 Use relevant sou</w:t>
            </w:r>
            <w:r w:rsidRPr="00C60E65">
              <w:t xml:space="preserve">rces to keep up-to-date with legislation and relevant publications </w:t>
            </w:r>
          </w:p>
          <w:p w:rsidR="00000000" w:rsidRPr="00C60E65" w:rsidP="00C60E65">
            <w:pPr>
              <w:pStyle w:val="BodyText"/>
            </w:pPr>
            <w:r w:rsidRPr="00C60E65">
              <w:t>3.2 Communicate information on relevant legislative changes and relevant publications to others</w:t>
            </w:r>
          </w:p>
        </w:tc>
      </w:tr>
    </w:tbl>
    <w:p w:rsidR="00000000" w:rsidRPr="00C60E65" w:rsidP="00C60E65">
      <w:pPr>
        <w:pStyle w:val="BodyText"/>
      </w:pPr>
    </w:p>
    <w:p w:rsidR="00000000" w:rsidRPr="00C60E65" w:rsidP="00C60E65">
      <w:pPr>
        <w:pStyle w:val="AllowPageBreak"/>
      </w:pPr>
    </w:p>
    <w:p w:rsidR="00000000" w:rsidRPr="00C60E65" w:rsidP="00C60E65">
      <w:pPr>
        <w:pStyle w:val="Heading1"/>
      </w:pPr>
      <w:bookmarkStart w:id="5" w:name="O_646044"/>
      <w:bookmarkEnd w:id="5"/>
      <w:r w:rsidRPr="00C60E65">
        <w:t>Foundation Skills</w:t>
      </w:r>
    </w:p>
    <w:p w:rsidR="00000000" w:rsidRPr="001E361A" w:rsidP="001E361A">
      <w:pPr>
        <w:pStyle w:val="BodyText"/>
        <w:rPr>
          <w:i/>
        </w:rPr>
      </w:pPr>
      <w:r w:rsidRPr="001E361A">
        <w:rPr>
          <w:rStyle w:val="Emphasis"/>
        </w:rPr>
        <w:t>This section describes language, literacy, numeracy and</w:t>
      </w:r>
      <w:r w:rsidRPr="001E361A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Performance</w:t>
            </w:r>
          </w:p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rPr>
                <w:rStyle w:val="SpecialBold"/>
              </w:rPr>
              <w:t>Description</w:t>
            </w:r>
          </w:p>
        </w:tc>
      </w:tr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Learning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ListBullet"/>
              <w:rPr>
                <w:lang w:val="en-NZ"/>
              </w:rPr>
            </w:pPr>
            <w:r w:rsidRPr="00C60E65">
              <w:t>Identifies and evaluates information from formal and informal sources to update knowledge</w:t>
            </w:r>
          </w:p>
        </w:tc>
      </w:tr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1.1-1.5,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ListBullet"/>
              <w:rPr>
                <w:lang w:val="en-NZ"/>
              </w:rPr>
            </w:pPr>
            <w:r w:rsidRPr="00C60E65">
              <w:t>Interprets a range of textual information to determine regulatory and procedural requirements and necessary actions</w:t>
            </w:r>
          </w:p>
        </w:tc>
      </w:tr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2.3, 3.2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ListBullet"/>
              <w:rPr>
                <w:lang w:val="en-NZ"/>
              </w:rPr>
            </w:pPr>
            <w:r w:rsidRPr="00C60E65">
              <w:t>Documents WHS information in a sequential manner using required format, correct grammar and industr</w:t>
            </w:r>
            <w:r w:rsidRPr="00C60E65">
              <w:t>y specific language</w:t>
            </w:r>
          </w:p>
        </w:tc>
      </w:tr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 xml:space="preserve">Oral </w:t>
            </w:r>
            <w:r w:rsidRPr="00C60E65">
              <w:t>communication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2.1, 2.2, 2.3, 3.2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ListBullet"/>
            </w:pPr>
            <w:r w:rsidRPr="00C60E65">
              <w:t>Provides information or advice using language appropriate to audience</w:t>
            </w:r>
          </w:p>
          <w:p w:rsidR="00000000" w:rsidP="00C60E65">
            <w:pPr>
              <w:pStyle w:val="ListBullet"/>
              <w:rPr>
                <w:lang w:val="en-NZ"/>
              </w:rPr>
            </w:pPr>
            <w:r w:rsidRPr="00C60E65">
              <w:t xml:space="preserve">Uses listening and questioning to clarify and confirm understanding </w:t>
            </w:r>
          </w:p>
        </w:tc>
      </w:tr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2.1- 2.3,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ListBullet"/>
            </w:pPr>
            <w:r w:rsidRPr="00C60E65">
              <w:t>Follows policies, procedures and legislative requirements relevant to own role</w:t>
            </w:r>
          </w:p>
          <w:p w:rsidR="00000000" w:rsidP="00C60E65">
            <w:pPr>
              <w:pStyle w:val="ListBullet"/>
              <w:rPr>
                <w:lang w:val="en-NZ"/>
              </w:rPr>
            </w:pPr>
            <w:r w:rsidRPr="00C60E65">
              <w:t>Keeps up to date on changes to legislation or regulations relevant to own role</w:t>
            </w:r>
          </w:p>
        </w:tc>
      </w:tr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2.4, 3.2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ListBullet"/>
              <w:rPr>
                <w:lang w:val="en-NZ"/>
              </w:rPr>
            </w:pPr>
            <w:r w:rsidRPr="00C60E65">
              <w:t>Selects appropriate communication protocols and conventions to pro</w:t>
            </w:r>
            <w:r w:rsidRPr="00C60E65">
              <w:t>vide or seek information</w:t>
            </w:r>
          </w:p>
        </w:tc>
      </w:tr>
      <w:tr w:rsidTr="00C60E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1.1-1.5, 2.3,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ListBullet"/>
            </w:pPr>
            <w:r w:rsidRPr="00C60E65">
              <w:t>Plans, sequences and prioritises tasks and activities to support compliance with WHS regulatory requirements</w:t>
            </w:r>
          </w:p>
          <w:p w:rsidR="00000000" w:rsidRPr="00C60E65" w:rsidP="00C60E65">
            <w:pPr>
              <w:pStyle w:val="ListBullet"/>
            </w:pPr>
            <w:r w:rsidRPr="00C60E65">
              <w:t>Initiates standard procedures in response to non-compliance issues, requesting assistance if necessary</w:t>
            </w:r>
          </w:p>
          <w:p w:rsidR="00000000" w:rsidRPr="00C60E65" w:rsidP="00C60E65">
            <w:pPr>
              <w:pStyle w:val="ListBullet"/>
            </w:pPr>
            <w:r w:rsidRPr="00C60E65">
              <w:t>Uses the main features and functions of digital tools to complete work tasks and access information</w:t>
            </w:r>
          </w:p>
        </w:tc>
      </w:tr>
    </w:tbl>
    <w:p w:rsidR="00000000" w:rsidRPr="00C60E65" w:rsidP="00C60E65">
      <w:pPr>
        <w:pStyle w:val="BodyText"/>
      </w:pPr>
    </w:p>
    <w:p w:rsidR="00000000" w:rsidRPr="00C60E65" w:rsidP="00C60E65">
      <w:pPr>
        <w:pStyle w:val="AllowPageBreak"/>
      </w:pPr>
    </w:p>
    <w:p w:rsidR="00000000" w:rsidRPr="00C60E65" w:rsidP="00C60E65">
      <w:pPr>
        <w:pStyle w:val="Heading1"/>
      </w:pPr>
      <w:bookmarkStart w:id="6" w:name="O_646046"/>
      <w:bookmarkEnd w:id="6"/>
      <w:r w:rsidRPr="00C60E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 xml:space="preserve">Code and </w:t>
            </w:r>
            <w:r w:rsidRPr="00C60E65">
              <w:rPr>
                <w:rStyle w:val="SpecialBold"/>
              </w:rPr>
              <w:t xml:space="preserve">title </w:t>
            </w:r>
          </w:p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Code and title</w:t>
            </w:r>
          </w:p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rPr>
                <w:rStyle w:val="SpecialBold"/>
              </w:rPr>
              <w:t>Equivalence status</w:t>
            </w:r>
          </w:p>
        </w:tc>
      </w:tr>
      <w:tr w:rsidTr="00C6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BSBWHS302 Apply knowledge of WHS legislation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BSBWHS302A Apply knowledge of WHS legislation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t>Updated to meet Standards for Training Packages</w:t>
            </w:r>
          </w:p>
          <w:p w:rsidR="00000000" w:rsidRPr="00C60E65" w:rsidP="00C60E65">
            <w:pPr>
              <w:pStyle w:val="BodyText"/>
            </w:pPr>
          </w:p>
          <w:p w:rsidR="00000000" w:rsidP="00C60E65">
            <w:pPr>
              <w:pStyle w:val="BodyText"/>
              <w:rPr>
                <w:lang w:val="en-NZ"/>
              </w:rPr>
            </w:pPr>
            <w:r w:rsidRPr="00C60E65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65" w:rsidP="00C60E65">
            <w:pPr>
              <w:pStyle w:val="BodyText"/>
            </w:pPr>
            <w:r w:rsidRPr="00C60E65">
              <w:t>Equivalent unit</w:t>
            </w:r>
          </w:p>
        </w:tc>
      </w:tr>
    </w:tbl>
    <w:p w:rsidR="00000000" w:rsidRPr="00C60E65" w:rsidP="00C60E65">
      <w:pPr>
        <w:pStyle w:val="BodyText"/>
      </w:pPr>
    </w:p>
    <w:p w:rsidR="00000000" w:rsidRPr="00C60E65" w:rsidP="00C60E65">
      <w:pPr>
        <w:pStyle w:val="AllowPageBreak"/>
      </w:pPr>
    </w:p>
    <w:p w:rsidR="00000000" w:rsidRPr="00C60E65" w:rsidP="00C60E65">
      <w:pPr>
        <w:pStyle w:val="Heading1"/>
      </w:pPr>
      <w:bookmarkStart w:id="7" w:name="O_646053"/>
      <w:bookmarkEnd w:id="7"/>
      <w:r w:rsidRPr="00C60E65">
        <w:t>Links</w:t>
      </w:r>
    </w:p>
    <w:p w:rsidR="00000000" w:rsidRPr="00C60E65" w:rsidP="001E361A">
      <w:pPr>
        <w:pStyle w:val="BodyText"/>
      </w:pPr>
      <w:r w:rsidRPr="00C6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17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0E65" w:rsidP="00C60E65"/>
    <w:sectPr w:rsidSect="00C60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65" w:rsidRPr="001E361A" w:rsidP="001E3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61A" w:rsidP="00C60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61A" w:rsidP="00C60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361A" w:rsidP="00C60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E65" w:rsidRPr="001E361A" w:rsidP="001E3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61A" w:rsidRPr="002D2AF8" w:rsidP="00C60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BSBWHS302 Apply knowledge of WHS legislation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361A" w:rsidP="00C60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47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2EC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E65"/>
  </w:style>
  <w:style w:type="character" w:customStyle="1" w:styleId="Heading1Char">
    <w:name w:val="Heading 1 Char"/>
    <w:basedOn w:val="DefaultParagraphFont"/>
    <w:link w:val="Heading1"/>
    <w:rsid w:val="00C60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E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E65"/>
    <w:rPr>
      <w:b/>
      <w:spacing w:val="0"/>
    </w:rPr>
  </w:style>
  <w:style w:type="character" w:styleId="Emphasis">
    <w:name w:val="Emphasis"/>
    <w:basedOn w:val="DefaultParagraphFont"/>
    <w:qFormat/>
    <w:rsid w:val="00C60E65"/>
    <w:rPr>
      <w:i/>
    </w:rPr>
  </w:style>
  <w:style w:type="paragraph" w:customStyle="1" w:styleId="SuperHeading">
    <w:name w:val="SuperHeading"/>
    <w:basedOn w:val="Normal"/>
    <w:rsid w:val="00C60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E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E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E65"/>
  </w:style>
  <w:style w:type="paragraph" w:styleId="TableofFigures">
    <w:name w:val="table of figures"/>
    <w:basedOn w:val="Normal"/>
    <w:next w:val="Normal"/>
    <w:semiHidden/>
    <w:rsid w:val="00C60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E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E65"/>
    <w:rPr>
      <w:rFonts w:ascii="Wingdings" w:hAnsi="Wingdings"/>
    </w:rPr>
  </w:style>
  <w:style w:type="paragraph" w:customStyle="1" w:styleId="TableHeading">
    <w:name w:val="Table Heading"/>
    <w:basedOn w:val="HeadingBase"/>
    <w:rsid w:val="00C60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E65"/>
    <w:rPr>
      <w:color w:val="0033CC"/>
      <w:u w:val="none"/>
    </w:rPr>
  </w:style>
  <w:style w:type="paragraph" w:customStyle="1" w:styleId="BodyTextRight">
    <w:name w:val="Body Text Right"/>
    <w:basedOn w:val="BodyText"/>
    <w:rsid w:val="00C60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E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E65"/>
    <w:rPr>
      <w:sz w:val="32"/>
    </w:rPr>
  </w:style>
  <w:style w:type="paragraph" w:customStyle="1" w:styleId="HeadingProcedure">
    <w:name w:val="Heading Procedure"/>
    <w:basedOn w:val="HeadingBase"/>
    <w:next w:val="Normal"/>
    <w:rsid w:val="00C60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E65"/>
    <w:pPr>
      <w:spacing w:before="60" w:after="60"/>
    </w:pPr>
  </w:style>
  <w:style w:type="paragraph" w:styleId="ListContinue">
    <w:name w:val="List Continue"/>
    <w:basedOn w:val="List"/>
    <w:rsid w:val="00C60E65"/>
    <w:pPr>
      <w:ind w:firstLine="0"/>
    </w:pPr>
  </w:style>
  <w:style w:type="paragraph" w:customStyle="1" w:styleId="ListNote">
    <w:name w:val="List Note"/>
    <w:basedOn w:val="List"/>
    <w:rsid w:val="00C60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E65"/>
    <w:rPr>
      <w:rFonts w:ascii="Courier New" w:hAnsi="Courier New"/>
    </w:rPr>
  </w:style>
  <w:style w:type="paragraph" w:customStyle="1" w:styleId="NoteBullet">
    <w:name w:val="Note Bullet"/>
    <w:basedOn w:val="Note"/>
    <w:rsid w:val="00C60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E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E65"/>
    <w:rPr>
      <w:b/>
      <w:smallCaps/>
    </w:rPr>
  </w:style>
  <w:style w:type="paragraph" w:customStyle="1" w:styleId="TableListNumber">
    <w:name w:val="Table List Number"/>
    <w:basedOn w:val="ListNumber"/>
    <w:rsid w:val="00C60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E65"/>
    <w:pPr>
      <w:numPr>
        <w:numId w:val="8"/>
      </w:numPr>
    </w:pPr>
  </w:style>
  <w:style w:type="paragraph" w:customStyle="1" w:styleId="ListAlpha2">
    <w:name w:val="List Alpha 2"/>
    <w:basedOn w:val="List2"/>
    <w:rsid w:val="00C60E65"/>
    <w:pPr>
      <w:numPr>
        <w:numId w:val="7"/>
      </w:numPr>
    </w:pPr>
  </w:style>
  <w:style w:type="paragraph" w:styleId="List2">
    <w:name w:val="List 2"/>
    <w:basedOn w:val="BodyText"/>
    <w:rsid w:val="00C60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E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E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E65"/>
    <w:pPr>
      <w:numPr>
        <w:numId w:val="3"/>
      </w:numPr>
    </w:pPr>
  </w:style>
  <w:style w:type="paragraph" w:styleId="ListContinue2">
    <w:name w:val="List Continue 2"/>
    <w:basedOn w:val="List2"/>
    <w:rsid w:val="00C60E65"/>
    <w:pPr>
      <w:ind w:firstLine="0"/>
    </w:pPr>
  </w:style>
  <w:style w:type="paragraph" w:styleId="ListContinue3">
    <w:name w:val="List Continue 3"/>
    <w:basedOn w:val="List3"/>
    <w:rsid w:val="00C60E65"/>
    <w:pPr>
      <w:ind w:left="1021" w:firstLine="0"/>
    </w:pPr>
  </w:style>
  <w:style w:type="paragraph" w:styleId="ListContinue4">
    <w:name w:val="List Continue 4"/>
    <w:basedOn w:val="List4"/>
    <w:rsid w:val="00C60E65"/>
    <w:pPr>
      <w:ind w:firstLine="0"/>
    </w:pPr>
  </w:style>
  <w:style w:type="paragraph" w:styleId="ListContinue5">
    <w:name w:val="List Continue 5"/>
    <w:basedOn w:val="List5"/>
    <w:rsid w:val="00C60E65"/>
    <w:pPr>
      <w:ind w:firstLine="0"/>
    </w:pPr>
  </w:style>
  <w:style w:type="paragraph" w:styleId="ListNumber3">
    <w:name w:val="List Number 3"/>
    <w:basedOn w:val="List3"/>
    <w:rsid w:val="00C60E65"/>
    <w:pPr>
      <w:numPr>
        <w:numId w:val="4"/>
      </w:numPr>
    </w:pPr>
  </w:style>
  <w:style w:type="paragraph" w:styleId="ListNumber4">
    <w:name w:val="List Number 4"/>
    <w:basedOn w:val="List4"/>
    <w:rsid w:val="00C60E65"/>
    <w:pPr>
      <w:numPr>
        <w:numId w:val="5"/>
      </w:numPr>
    </w:pPr>
  </w:style>
  <w:style w:type="paragraph" w:styleId="ListNumber5">
    <w:name w:val="List Number 5"/>
    <w:basedOn w:val="List5"/>
    <w:rsid w:val="00C60E65"/>
    <w:pPr>
      <w:numPr>
        <w:numId w:val="6"/>
      </w:numPr>
    </w:pPr>
  </w:style>
  <w:style w:type="paragraph" w:styleId="BlockText">
    <w:name w:val="Block Text"/>
    <w:basedOn w:val="Normal"/>
    <w:rsid w:val="00C60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E65"/>
    <w:rPr>
      <w:sz w:val="16"/>
      <w:vertAlign w:val="superscript"/>
    </w:rPr>
  </w:style>
  <w:style w:type="character" w:customStyle="1" w:styleId="Symbols">
    <w:name w:val="Symbols"/>
    <w:basedOn w:val="DefaultParagraphFont"/>
    <w:rsid w:val="00C60E65"/>
    <w:rPr>
      <w:rFonts w:ascii="Symbol" w:hAnsi="Symbol"/>
    </w:rPr>
  </w:style>
  <w:style w:type="character" w:customStyle="1" w:styleId="MenuOptions">
    <w:name w:val="Menu Options"/>
    <w:basedOn w:val="DefaultParagraphFont"/>
    <w:rsid w:val="00C60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E65"/>
    <w:rPr>
      <w:b/>
    </w:rPr>
  </w:style>
  <w:style w:type="character" w:customStyle="1" w:styleId="Underlined">
    <w:name w:val="Underlined"/>
    <w:basedOn w:val="DefaultParagraphFont"/>
    <w:rsid w:val="00C60E65"/>
    <w:rPr>
      <w:u w:val="single"/>
    </w:rPr>
  </w:style>
  <w:style w:type="paragraph" w:customStyle="1" w:styleId="TableBodyTextRight">
    <w:name w:val="Table Body Text Right"/>
    <w:basedOn w:val="TableBodyText"/>
    <w:rsid w:val="00C60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E65"/>
    <w:rPr>
      <w:sz w:val="18"/>
    </w:rPr>
  </w:style>
  <w:style w:type="paragraph" w:customStyle="1" w:styleId="BodySmallRight">
    <w:name w:val="Body Small Right"/>
    <w:basedOn w:val="BodyTextRight"/>
    <w:rsid w:val="00C60E65"/>
    <w:rPr>
      <w:sz w:val="18"/>
      <w:szCs w:val="18"/>
    </w:rPr>
  </w:style>
  <w:style w:type="paragraph" w:customStyle="1" w:styleId="MarginEdition">
    <w:name w:val="Margin Edition"/>
    <w:basedOn w:val="MarginNote"/>
    <w:rsid w:val="00C60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E65"/>
    <w:rPr>
      <w:sz w:val="2"/>
      <w:szCs w:val="2"/>
    </w:rPr>
  </w:style>
  <w:style w:type="character" w:customStyle="1" w:styleId="Small">
    <w:name w:val="Small"/>
    <w:basedOn w:val="DefaultParagraphFont"/>
    <w:rsid w:val="00C60E65"/>
    <w:rPr>
      <w:sz w:val="16"/>
    </w:rPr>
  </w:style>
  <w:style w:type="paragraph" w:customStyle="1" w:styleId="WideTable">
    <w:name w:val="Wide Table"/>
    <w:basedOn w:val="Normal"/>
    <w:rsid w:val="00C60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E65"/>
  </w:style>
  <w:style w:type="paragraph" w:styleId="Quote">
    <w:name w:val="Quote"/>
    <w:basedOn w:val="Heading1"/>
    <w:link w:val="QuoteChar"/>
    <w:qFormat/>
    <w:rsid w:val="00C60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E65"/>
    <w:pPr>
      <w:pageBreakBefore/>
    </w:pPr>
  </w:style>
  <w:style w:type="paragraph" w:customStyle="1" w:styleId="Border">
    <w:name w:val="Border"/>
    <w:basedOn w:val="Normal"/>
    <w:qFormat/>
    <w:rsid w:val="00C60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E65"/>
    <w:rPr>
      <w:u w:val="single"/>
    </w:rPr>
  </w:style>
  <w:style w:type="character" w:customStyle="1" w:styleId="BoldandItalics">
    <w:name w:val="Bold and Italics"/>
    <w:qFormat/>
    <w:rsid w:val="00C60E65"/>
    <w:rPr>
      <w:b/>
      <w:i/>
      <w:u w:val="none"/>
    </w:rPr>
  </w:style>
  <w:style w:type="paragraph" w:styleId="BalloonText">
    <w:name w:val="Balloon Text"/>
    <w:basedOn w:val="Normal"/>
    <w:link w:val="BalloonTextChar"/>
    <w:rsid w:val="00C60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E65"/>
    <w:pPr>
      <w:spacing w:before="0" w:after="0"/>
    </w:pPr>
  </w:style>
  <w:style w:type="paragraph" w:customStyle="1" w:styleId="BodyTextBold">
    <w:name w:val="Body Text Bold"/>
    <w:basedOn w:val="BodyText"/>
    <w:qFormat/>
    <w:rsid w:val="00C60E65"/>
    <w:rPr>
      <w:b/>
    </w:rPr>
  </w:style>
  <w:style w:type="character" w:styleId="Hyperlink">
    <w:name w:val="Hyperlink"/>
    <w:basedOn w:val="DefaultParagraphFont"/>
    <w:uiPriority w:val="99"/>
    <w:unhideWhenUsed/>
    <w:rsid w:val="001E3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4165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BSBWHS302 Apply knowledge of WHS legislation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