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D4" w:rsidP="00CB6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BSBOPS507X Manage organisational response to disruption</w:t>
      </w:r>
      <w:r>
        <w:fldChar w:fldCharType="end"/>
      </w:r>
    </w:p>
    <w:p w:rsidR="00CB63D4" w:rsidP="00CB63D4">
      <w:pPr>
        <w:pStyle w:val="Version"/>
        <w:sectPr w:rsidSect="00FA4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3DE" w:rsidP="00FA43DE">
      <w:pPr>
        <w:pStyle w:val="SuperHeading"/>
      </w:pPr>
      <w:r w:rsidRPr="00FA43DE">
        <w:t>Assessment Requirements for BSBOPS507X Manage organisational response to disruption</w:t>
      </w:r>
    </w:p>
    <w:p w:rsidR="00000000" w:rsidRPr="00FA43DE" w:rsidP="00FA43DE">
      <w:pPr>
        <w:pStyle w:val="Heading1"/>
      </w:pPr>
      <w:bookmarkStart w:id="1" w:name="O_1218960"/>
      <w:bookmarkEnd w:id="1"/>
      <w:r w:rsidRPr="00FA4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4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DE" w:rsidP="00FA43DE">
            <w:pPr>
              <w:pStyle w:val="BodyText"/>
            </w:pPr>
            <w:r w:rsidRPr="00FA43D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DE">
            <w:pPr>
              <w:pStyle w:val="BodyText"/>
              <w:rPr>
                <w:lang w:val="en-NZ"/>
              </w:rPr>
            </w:pPr>
            <w:r w:rsidRPr="00FA43DE">
              <w:rPr>
                <w:rStyle w:val="SpecialBold"/>
              </w:rPr>
              <w:t>Comments</w:t>
            </w:r>
          </w:p>
        </w:tc>
      </w:tr>
      <w:tr w:rsidTr="00FA4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DE">
            <w:pPr>
              <w:pStyle w:val="BodyText"/>
              <w:rPr>
                <w:lang w:val="en-NZ"/>
              </w:rPr>
            </w:pPr>
            <w:r w:rsidRPr="00FA43D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DE" w:rsidP="00FA43DE">
            <w:pPr>
              <w:pStyle w:val="BodyText"/>
            </w:pPr>
            <w:r w:rsidRPr="00FA43DE">
              <w:t>This version first released with the Business Services Training Package Version 8.0.</w:t>
            </w:r>
          </w:p>
          <w:p w:rsidR="00000000" w:rsidRPr="00FA43DE" w:rsidP="00FA43DE">
            <w:pPr>
              <w:pStyle w:val="BodyText"/>
            </w:pPr>
            <w:r w:rsidRPr="00FA43DE">
              <w:t>Newly created uni</w:t>
            </w:r>
            <w:r w:rsidRPr="00FA43DE">
              <w:t>t.</w:t>
            </w:r>
          </w:p>
        </w:tc>
      </w:tr>
    </w:tbl>
    <w:p w:rsidR="00000000" w:rsidRPr="00FA43DE" w:rsidP="00FA43DE">
      <w:pPr>
        <w:pStyle w:val="BodyText"/>
      </w:pPr>
    </w:p>
    <w:p w:rsidR="00000000" w:rsidRPr="00FA43DE" w:rsidP="00FA43DE">
      <w:pPr>
        <w:pStyle w:val="AllowPageBreak"/>
      </w:pPr>
    </w:p>
    <w:p w:rsidR="00000000" w:rsidRPr="00FA43DE" w:rsidP="00FA43DE">
      <w:pPr>
        <w:pStyle w:val="Heading1"/>
      </w:pPr>
      <w:bookmarkStart w:id="2" w:name="O_1218961"/>
      <w:bookmarkEnd w:id="2"/>
      <w:r w:rsidRPr="00FA43DE">
        <w:t>Performance Evidence</w:t>
      </w:r>
    </w:p>
    <w:p w:rsidR="00000000" w:rsidRPr="00FA43DE" w:rsidP="00CB63D4">
      <w:pPr>
        <w:pStyle w:val="BodyText"/>
      </w:pPr>
      <w:r w:rsidRPr="00FA43DE">
        <w:t>The candidate must demonstrate the ability to complete the tasks outlined in the elements, performance criteria and foundation skills of this unit, including evidence of the ability to:</w:t>
      </w:r>
    </w:p>
    <w:p w:rsidR="00000000" w:rsidRPr="00FA43DE" w:rsidP="00FA43DE">
      <w:pPr>
        <w:pStyle w:val="ListBullet"/>
      </w:pPr>
      <w:r w:rsidRPr="00FA43DE">
        <w:t xml:space="preserve">manage the response for </w:t>
      </w:r>
      <w:r w:rsidRPr="00FA43DE">
        <w:t>an organisation or work area to at least one disruptive event.</w:t>
      </w:r>
    </w:p>
    <w:p w:rsidR="00000000" w:rsidRPr="00FA43DE" w:rsidP="00FA43DE">
      <w:pPr>
        <w:pStyle w:val="BodyText"/>
      </w:pPr>
    </w:p>
    <w:p w:rsidR="00000000" w:rsidRPr="00FA43DE" w:rsidP="00CB63D4">
      <w:pPr>
        <w:pStyle w:val="BodyText"/>
      </w:pPr>
      <w:r w:rsidRPr="00FA43DE">
        <w:t>In the course of the above, the candidate must:</w:t>
      </w:r>
    </w:p>
    <w:p w:rsidR="00000000" w:rsidRPr="00FA43DE" w:rsidP="00FA43DE">
      <w:pPr>
        <w:pStyle w:val="ListBullet"/>
      </w:pPr>
      <w:r w:rsidRPr="00FA43DE">
        <w:t>identify at least two business opportunities arising from the disruption</w:t>
      </w:r>
    </w:p>
    <w:p w:rsidR="00000000" w:rsidRPr="00FA43DE" w:rsidP="00FA43DE">
      <w:pPr>
        <w:pStyle w:val="ListBullet"/>
      </w:pPr>
      <w:r w:rsidRPr="00FA43DE">
        <w:t>comply with organisational policies and procedures and legislative requirements applicable to disruptive event.</w:t>
      </w:r>
    </w:p>
    <w:p w:rsidR="00000000" w:rsidRPr="00FA43DE" w:rsidP="00FA43DE">
      <w:pPr>
        <w:pStyle w:val="AllowPageBreak"/>
      </w:pPr>
    </w:p>
    <w:p w:rsidR="00000000" w:rsidRPr="00FA43DE" w:rsidP="00FA43DE">
      <w:pPr>
        <w:pStyle w:val="Heading1"/>
      </w:pPr>
      <w:bookmarkStart w:id="3" w:name="O_1218962"/>
      <w:bookmarkEnd w:id="3"/>
      <w:r w:rsidRPr="00FA43DE">
        <w:t>Knowledge Evidence</w:t>
      </w:r>
    </w:p>
    <w:p w:rsidR="00000000" w:rsidRPr="00FA43DE" w:rsidP="00CB63D4">
      <w:pPr>
        <w:pStyle w:val="BodyText"/>
      </w:pPr>
      <w:r w:rsidRPr="00FA43DE">
        <w:t>The candidate must be able to demonstrate knowledge to complete the tasks outlined in the elements, perfor</w:t>
      </w:r>
      <w:r w:rsidRPr="00FA43DE">
        <w:t>mance criteria and foundation skills of this unit, including knowledge of:</w:t>
      </w:r>
    </w:p>
    <w:p w:rsidR="00000000" w:rsidRPr="00FA43DE" w:rsidP="00FA43DE">
      <w:pPr>
        <w:pStyle w:val="ListBullet"/>
      </w:pPr>
      <w:r w:rsidRPr="00FA43DE">
        <w:t>key features and components of organisational emergency and crisis management plans</w:t>
      </w:r>
    </w:p>
    <w:p w:rsidR="00000000" w:rsidRPr="00FA43DE" w:rsidP="00FA43DE">
      <w:pPr>
        <w:pStyle w:val="ListBullet"/>
      </w:pPr>
      <w:r w:rsidRPr="00FA43DE">
        <w:t>methods to monitor and improve organisational emergency and crisis management plan, including:</w:t>
      </w:r>
    </w:p>
    <w:p w:rsidR="00000000" w:rsidRPr="00FA43DE" w:rsidP="00FA43DE">
      <w:pPr>
        <w:pStyle w:val="ListBullet2"/>
      </w:pPr>
      <w:r w:rsidRPr="00FA43DE">
        <w:t>observation</w:t>
      </w:r>
    </w:p>
    <w:p w:rsidR="00000000" w:rsidRPr="00FA43DE" w:rsidP="00FA43DE">
      <w:pPr>
        <w:pStyle w:val="ListBullet2"/>
      </w:pPr>
      <w:r w:rsidRPr="00FA43DE">
        <w:t>stakeholder interviews</w:t>
      </w:r>
    </w:p>
    <w:p w:rsidR="00000000" w:rsidRPr="00FA43DE" w:rsidP="00FA43DE">
      <w:pPr>
        <w:pStyle w:val="ListBullet2"/>
      </w:pPr>
      <w:r w:rsidRPr="00FA43DE">
        <w:t>data collection and analysis</w:t>
      </w:r>
    </w:p>
    <w:p w:rsidR="00000000" w:rsidRPr="00FA43DE" w:rsidP="00FA43DE">
      <w:pPr>
        <w:pStyle w:val="ListBullet"/>
      </w:pPr>
      <w:r w:rsidRPr="00FA43DE">
        <w:t>methods for researching appropriate organisational response to disruptive events, including:</w:t>
      </w:r>
    </w:p>
    <w:p w:rsidR="00000000" w:rsidRPr="00FA43DE" w:rsidP="00FA43DE">
      <w:pPr>
        <w:pStyle w:val="ListBullet2"/>
      </w:pPr>
      <w:r w:rsidRPr="00FA43DE">
        <w:t>interviews</w:t>
      </w:r>
    </w:p>
    <w:p w:rsidR="00000000" w:rsidRPr="00FA43DE" w:rsidP="00FA43DE">
      <w:pPr>
        <w:pStyle w:val="ListBullet2"/>
      </w:pPr>
      <w:r w:rsidRPr="00FA43DE">
        <w:t>questionnaires</w:t>
      </w:r>
    </w:p>
    <w:p w:rsidR="00000000" w:rsidRPr="00FA43DE" w:rsidP="00FA43DE">
      <w:pPr>
        <w:pStyle w:val="ListBullet2"/>
      </w:pPr>
      <w:r w:rsidRPr="00FA43DE">
        <w:t>case studies</w:t>
      </w:r>
    </w:p>
    <w:p w:rsidR="00000000" w:rsidRPr="00FA43DE" w:rsidP="00FA43DE">
      <w:pPr>
        <w:pStyle w:val="ListBullet"/>
      </w:pPr>
      <w:r w:rsidRPr="00FA43DE">
        <w:t>organisational policies and procedures relevant to organisational disruption, including business continuity strategies</w:t>
      </w:r>
    </w:p>
    <w:p w:rsidR="00000000" w:rsidRPr="00FA43DE" w:rsidP="00FA43DE">
      <w:pPr>
        <w:pStyle w:val="ListBullet"/>
      </w:pPr>
      <w:r w:rsidRPr="00FA43DE">
        <w:t xml:space="preserve">rights and obligations relating to organisational disruption set out in work health and safety (WHS) legislation </w:t>
      </w:r>
    </w:p>
    <w:p w:rsidR="00000000" w:rsidRPr="00FA43DE" w:rsidP="00FA43DE">
      <w:pPr>
        <w:pStyle w:val="ListBullet"/>
      </w:pPr>
      <w:r w:rsidRPr="00FA43DE">
        <w:t xml:space="preserve">management techniques, </w:t>
      </w:r>
      <w:r w:rsidRPr="00FA43DE">
        <w:t>including:</w:t>
      </w:r>
    </w:p>
    <w:p w:rsidR="00000000" w:rsidRPr="00FA43DE" w:rsidP="00FA43DE">
      <w:pPr>
        <w:pStyle w:val="ListBullet2"/>
      </w:pPr>
      <w:r w:rsidRPr="00FA43DE">
        <w:t>facilitating goal setting</w:t>
      </w:r>
    </w:p>
    <w:p w:rsidR="00000000" w:rsidRPr="00FA43DE" w:rsidP="00FA43DE">
      <w:pPr>
        <w:pStyle w:val="ListBullet2"/>
      </w:pPr>
      <w:r w:rsidRPr="00FA43DE">
        <w:t>supporting team communication</w:t>
      </w:r>
    </w:p>
    <w:p w:rsidR="00000000" w:rsidRPr="00FA43DE" w:rsidP="00FA43DE">
      <w:pPr>
        <w:pStyle w:val="ListBullet2"/>
      </w:pPr>
      <w:r w:rsidRPr="00FA43DE">
        <w:t>adjusting plans based on feedback</w:t>
      </w:r>
    </w:p>
    <w:p w:rsidR="00000000" w:rsidRPr="00FA43DE" w:rsidP="00FA43DE">
      <w:pPr>
        <w:pStyle w:val="ListBullet"/>
      </w:pPr>
      <w:r w:rsidRPr="00FA43DE">
        <w:t xml:space="preserve">organisational market context and industry trends, including potential threats and opportunities </w:t>
      </w:r>
    </w:p>
    <w:p w:rsidR="00000000" w:rsidRPr="00FA43DE" w:rsidP="00FA43DE">
      <w:pPr>
        <w:pStyle w:val="ListBullet"/>
      </w:pPr>
      <w:r w:rsidRPr="00FA43DE">
        <w:t>organisational goals, mission, and values</w:t>
      </w:r>
    </w:p>
    <w:p w:rsidR="00000000" w:rsidRPr="00FA43DE" w:rsidP="00FA43DE">
      <w:pPr>
        <w:pStyle w:val="ListBullet"/>
      </w:pPr>
      <w:r w:rsidRPr="00FA43DE">
        <w:t>techniques fo</w:t>
      </w:r>
      <w:r w:rsidRPr="00FA43DE">
        <w:t>r modelling impact of response to disruption, including:</w:t>
      </w:r>
    </w:p>
    <w:p w:rsidR="00000000" w:rsidRPr="00FA43DE" w:rsidP="00FA43DE">
      <w:pPr>
        <w:pStyle w:val="ListBullet2"/>
      </w:pPr>
      <w:r w:rsidRPr="00FA43DE">
        <w:t>cost-benefit analysis</w:t>
      </w:r>
    </w:p>
    <w:p w:rsidR="00000000" w:rsidRPr="00FA43DE" w:rsidP="00FA43DE">
      <w:pPr>
        <w:pStyle w:val="ListBullet2"/>
      </w:pPr>
      <w:r w:rsidRPr="00FA43DE">
        <w:t>opportunity cost modelling</w:t>
      </w:r>
    </w:p>
    <w:p w:rsidR="00000000" w:rsidRPr="00FA43DE" w:rsidP="00FA43DE">
      <w:pPr>
        <w:pStyle w:val="ListBullet2"/>
      </w:pPr>
      <w:r w:rsidRPr="00FA43DE">
        <w:t>sensitivity analysis</w:t>
      </w:r>
    </w:p>
    <w:p w:rsidR="00000000" w:rsidRPr="00FA43DE" w:rsidP="00FA43DE">
      <w:pPr>
        <w:pStyle w:val="ListBullet"/>
      </w:pPr>
      <w:r w:rsidRPr="00FA43DE">
        <w:t>methods for large-scale communication when managing organisational response to disruption, including:</w:t>
      </w:r>
    </w:p>
    <w:p w:rsidR="00000000" w:rsidRPr="00FA43DE" w:rsidP="00FA43DE">
      <w:pPr>
        <w:pStyle w:val="ListBullet2"/>
      </w:pPr>
      <w:r w:rsidRPr="00FA43DE">
        <w:t>webinars</w:t>
      </w:r>
    </w:p>
    <w:p w:rsidR="00000000" w:rsidRPr="00FA43DE" w:rsidP="00FA43DE">
      <w:pPr>
        <w:pStyle w:val="ListBullet2"/>
      </w:pPr>
      <w:r w:rsidRPr="00FA43DE">
        <w:t>email newsletters</w:t>
      </w:r>
    </w:p>
    <w:p w:rsidR="00000000" w:rsidRPr="00FA43DE" w:rsidP="00FA43DE">
      <w:pPr>
        <w:pStyle w:val="ListBullet2"/>
      </w:pPr>
      <w:r w:rsidRPr="00FA43DE">
        <w:t>livestreams</w:t>
      </w:r>
    </w:p>
    <w:p w:rsidR="00000000" w:rsidRPr="00FA43DE" w:rsidP="00FA43DE">
      <w:pPr>
        <w:pStyle w:val="ListBullet2"/>
      </w:pPr>
      <w:r w:rsidRPr="00FA43DE">
        <w:t>information panels</w:t>
      </w:r>
    </w:p>
    <w:p w:rsidR="00000000" w:rsidRPr="00FA43DE" w:rsidP="00FA43DE">
      <w:pPr>
        <w:pStyle w:val="ListBullet"/>
      </w:pPr>
      <w:r w:rsidRPr="00FA43DE">
        <w:t>relevant legislative and regulatory requirements that impact on business performance during disruptive events.</w:t>
      </w:r>
    </w:p>
    <w:p w:rsidR="00000000" w:rsidRPr="00FA43DE" w:rsidP="00FA43DE">
      <w:pPr>
        <w:pStyle w:val="AllowPageBreak"/>
      </w:pPr>
    </w:p>
    <w:p w:rsidR="00000000" w:rsidRPr="00FA43DE" w:rsidP="00FA43DE">
      <w:pPr>
        <w:pStyle w:val="Heading1"/>
      </w:pPr>
      <w:bookmarkStart w:id="4" w:name="O_1218963"/>
      <w:bookmarkEnd w:id="4"/>
      <w:r w:rsidRPr="00FA43DE">
        <w:t>Assessment Conditions</w:t>
      </w:r>
    </w:p>
    <w:p w:rsidR="00000000" w:rsidRPr="00FA43DE" w:rsidP="00CB63D4">
      <w:pPr>
        <w:pStyle w:val="BodyText"/>
      </w:pPr>
      <w:r w:rsidRPr="00FA43DE">
        <w:t>Skills in this unit must be demonstrated in a workplac</w:t>
      </w:r>
      <w:r w:rsidRPr="00FA43DE">
        <w:t>e or simulated environment where the conditions are typical of those in a working environment in this industry.</w:t>
      </w:r>
    </w:p>
    <w:p w:rsidR="00000000" w:rsidRPr="00FA43DE" w:rsidP="00CB63D4">
      <w:pPr>
        <w:pStyle w:val="BodyText"/>
      </w:pPr>
      <w:r w:rsidRPr="00FA43DE">
        <w:t>This includes access to:</w:t>
      </w:r>
    </w:p>
    <w:p w:rsidR="00000000" w:rsidRPr="00FA43DE" w:rsidP="00FA43DE">
      <w:pPr>
        <w:pStyle w:val="ListBullet"/>
      </w:pPr>
      <w:r w:rsidRPr="00FA43DE">
        <w:t>relevant legislative and regulatory requirements, and organisational policies and procedures required to demonstrate p</w:t>
      </w:r>
      <w:r w:rsidRPr="00FA43DE">
        <w:t>erformance evidence</w:t>
      </w:r>
    </w:p>
    <w:p w:rsidR="00000000" w:rsidRPr="00FA43DE" w:rsidP="00FA43DE">
      <w:pPr>
        <w:pStyle w:val="ListBullet"/>
      </w:pPr>
      <w:r w:rsidRPr="00FA43DE">
        <w:t>case studies and, where possible, real situations</w:t>
      </w:r>
    </w:p>
    <w:p w:rsidR="00000000" w:rsidRPr="00FA43DE" w:rsidP="00FA43DE">
      <w:pPr>
        <w:pStyle w:val="ListBullet"/>
      </w:pPr>
      <w:r w:rsidRPr="00FA43DE">
        <w:t>opportunities for interaction with others.</w:t>
      </w:r>
    </w:p>
    <w:p w:rsidR="00000000" w:rsidRPr="00FA43DE" w:rsidP="00FA43DE">
      <w:pPr>
        <w:pStyle w:val="BodyText"/>
      </w:pPr>
    </w:p>
    <w:p w:rsidR="00000000" w:rsidRPr="00FA43DE" w:rsidP="00CB63D4">
      <w:pPr>
        <w:pStyle w:val="BodyText"/>
      </w:pPr>
      <w:r w:rsidRPr="00FA43DE">
        <w:t>Assessors of this unit must satisfy the requirements for assessors in applicable vocational education and training legislation, frameworks and</w:t>
      </w:r>
      <w:r w:rsidRPr="00FA43DE">
        <w:t>/or standards.</w:t>
      </w:r>
    </w:p>
    <w:p w:rsidR="00000000" w:rsidRPr="00FA43DE" w:rsidP="00FA43DE">
      <w:pPr>
        <w:pStyle w:val="Heading1"/>
      </w:pPr>
      <w:bookmarkStart w:id="5" w:name="O_1218966"/>
      <w:bookmarkEnd w:id="5"/>
      <w:r w:rsidRPr="00FA43DE">
        <w:t>Links</w:t>
      </w:r>
    </w:p>
    <w:p w:rsidR="00000000" w:rsidRPr="00FA43DE" w:rsidP="00CB63D4">
      <w:pPr>
        <w:pStyle w:val="BodyText"/>
      </w:pPr>
      <w:r w:rsidRPr="00FA43D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B5A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43DE" w:rsidP="00FA43DE"/>
    <w:sectPr w:rsidSect="00FA4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DE" w:rsidRPr="00CB63D4" w:rsidP="00CB6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D4" w:rsidP="00FA4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3D4" w:rsidP="00FA4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3D4" w:rsidP="00FA4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3DE" w:rsidRPr="00CB63D4" w:rsidP="00CB6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D4" w:rsidRPr="002D2AF8" w:rsidP="00FA4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BSBOPS507X Manage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B63D4" w:rsidP="00FA4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69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C2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C0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3DE"/>
  </w:style>
  <w:style w:type="character" w:customStyle="1" w:styleId="Heading1Char">
    <w:name w:val="Heading 1 Char"/>
    <w:basedOn w:val="DefaultParagraphFont"/>
    <w:link w:val="Heading1"/>
    <w:rsid w:val="00FA4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3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3DE"/>
    <w:rPr>
      <w:b/>
      <w:spacing w:val="0"/>
    </w:rPr>
  </w:style>
  <w:style w:type="paragraph" w:styleId="ListBullet2">
    <w:name w:val="List Bullet 2"/>
    <w:basedOn w:val="List2"/>
    <w:rsid w:val="00FA4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3DE"/>
    <w:rPr>
      <w:i/>
    </w:rPr>
  </w:style>
  <w:style w:type="paragraph" w:styleId="Caption">
    <w:name w:val="caption"/>
    <w:basedOn w:val="BodyText"/>
    <w:next w:val="Normal"/>
    <w:qFormat/>
    <w:rsid w:val="00FA4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3DE"/>
  </w:style>
  <w:style w:type="paragraph" w:styleId="TableofFigures">
    <w:name w:val="table of figures"/>
    <w:basedOn w:val="Normal"/>
    <w:next w:val="Normal"/>
    <w:semiHidden/>
    <w:rsid w:val="00FA4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3DE"/>
    <w:rPr>
      <w:rFonts w:ascii="Wingdings" w:hAnsi="Wingdings"/>
    </w:rPr>
  </w:style>
  <w:style w:type="paragraph" w:customStyle="1" w:styleId="TableHeading">
    <w:name w:val="Table Heading"/>
    <w:basedOn w:val="HeadingBase"/>
    <w:rsid w:val="00FA4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3DE"/>
    <w:rPr>
      <w:color w:val="0033CC"/>
      <w:u w:val="none"/>
    </w:rPr>
  </w:style>
  <w:style w:type="paragraph" w:customStyle="1" w:styleId="BodyTextRight">
    <w:name w:val="Body Text Right"/>
    <w:basedOn w:val="BodyText"/>
    <w:rsid w:val="00FA4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3DE"/>
    <w:rPr>
      <w:sz w:val="32"/>
    </w:rPr>
  </w:style>
  <w:style w:type="paragraph" w:customStyle="1" w:styleId="HeadingProcedure">
    <w:name w:val="Heading Procedure"/>
    <w:basedOn w:val="HeadingBase"/>
    <w:next w:val="Normal"/>
    <w:rsid w:val="00FA4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3DE"/>
    <w:pPr>
      <w:spacing w:before="60" w:after="60"/>
    </w:pPr>
  </w:style>
  <w:style w:type="paragraph" w:styleId="ListContinue">
    <w:name w:val="List Continue"/>
    <w:basedOn w:val="List"/>
    <w:rsid w:val="00FA43DE"/>
    <w:pPr>
      <w:ind w:firstLine="0"/>
    </w:pPr>
  </w:style>
  <w:style w:type="paragraph" w:customStyle="1" w:styleId="ListNote">
    <w:name w:val="List Note"/>
    <w:basedOn w:val="List"/>
    <w:rsid w:val="00FA4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3DE"/>
    <w:rPr>
      <w:rFonts w:ascii="Courier New" w:hAnsi="Courier New"/>
    </w:rPr>
  </w:style>
  <w:style w:type="paragraph" w:customStyle="1" w:styleId="NoteBullet">
    <w:name w:val="Note Bullet"/>
    <w:basedOn w:val="Note"/>
    <w:rsid w:val="00FA4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3DE"/>
    <w:rPr>
      <w:b/>
      <w:smallCaps/>
    </w:rPr>
  </w:style>
  <w:style w:type="paragraph" w:customStyle="1" w:styleId="TableListNumber">
    <w:name w:val="Table List Number"/>
    <w:basedOn w:val="ListNumber"/>
    <w:rsid w:val="00FA4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3DE"/>
    <w:pPr>
      <w:numPr>
        <w:numId w:val="9"/>
      </w:numPr>
    </w:pPr>
  </w:style>
  <w:style w:type="paragraph" w:customStyle="1" w:styleId="ListAlpha2">
    <w:name w:val="List Alpha 2"/>
    <w:basedOn w:val="List2"/>
    <w:rsid w:val="00FA43DE"/>
    <w:pPr>
      <w:numPr>
        <w:numId w:val="8"/>
      </w:numPr>
    </w:pPr>
  </w:style>
  <w:style w:type="paragraph" w:styleId="List2">
    <w:name w:val="List 2"/>
    <w:basedOn w:val="BodyText"/>
    <w:rsid w:val="00FA4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3DE"/>
    <w:pPr>
      <w:numPr>
        <w:numId w:val="4"/>
      </w:numPr>
    </w:pPr>
  </w:style>
  <w:style w:type="paragraph" w:styleId="ListContinue2">
    <w:name w:val="List Continue 2"/>
    <w:basedOn w:val="List2"/>
    <w:rsid w:val="00FA43DE"/>
    <w:pPr>
      <w:ind w:firstLine="0"/>
    </w:pPr>
  </w:style>
  <w:style w:type="paragraph" w:styleId="ListContinue3">
    <w:name w:val="List Continue 3"/>
    <w:basedOn w:val="List3"/>
    <w:rsid w:val="00FA43DE"/>
    <w:pPr>
      <w:ind w:left="1021" w:firstLine="0"/>
    </w:pPr>
  </w:style>
  <w:style w:type="paragraph" w:styleId="ListContinue4">
    <w:name w:val="List Continue 4"/>
    <w:basedOn w:val="List4"/>
    <w:rsid w:val="00FA43DE"/>
    <w:pPr>
      <w:ind w:firstLine="0"/>
    </w:pPr>
  </w:style>
  <w:style w:type="paragraph" w:styleId="ListContinue5">
    <w:name w:val="List Continue 5"/>
    <w:basedOn w:val="List5"/>
    <w:rsid w:val="00FA43DE"/>
    <w:pPr>
      <w:ind w:firstLine="0"/>
    </w:pPr>
  </w:style>
  <w:style w:type="paragraph" w:styleId="ListNumber3">
    <w:name w:val="List Number 3"/>
    <w:basedOn w:val="List3"/>
    <w:rsid w:val="00FA43DE"/>
    <w:pPr>
      <w:numPr>
        <w:numId w:val="5"/>
      </w:numPr>
    </w:pPr>
  </w:style>
  <w:style w:type="paragraph" w:styleId="ListNumber4">
    <w:name w:val="List Number 4"/>
    <w:basedOn w:val="List4"/>
    <w:rsid w:val="00FA43DE"/>
    <w:pPr>
      <w:numPr>
        <w:numId w:val="6"/>
      </w:numPr>
    </w:pPr>
  </w:style>
  <w:style w:type="paragraph" w:styleId="ListNumber5">
    <w:name w:val="List Number 5"/>
    <w:basedOn w:val="List5"/>
    <w:rsid w:val="00FA43DE"/>
    <w:pPr>
      <w:numPr>
        <w:numId w:val="7"/>
      </w:numPr>
    </w:pPr>
  </w:style>
  <w:style w:type="paragraph" w:styleId="BlockText">
    <w:name w:val="Block Text"/>
    <w:basedOn w:val="Normal"/>
    <w:rsid w:val="00FA4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3DE"/>
    <w:rPr>
      <w:sz w:val="16"/>
      <w:vertAlign w:val="superscript"/>
    </w:rPr>
  </w:style>
  <w:style w:type="character" w:customStyle="1" w:styleId="Symbols">
    <w:name w:val="Symbols"/>
    <w:basedOn w:val="DefaultParagraphFont"/>
    <w:rsid w:val="00FA43DE"/>
    <w:rPr>
      <w:rFonts w:ascii="Symbol" w:hAnsi="Symbol"/>
    </w:rPr>
  </w:style>
  <w:style w:type="character" w:customStyle="1" w:styleId="MenuOptions">
    <w:name w:val="Menu Options"/>
    <w:basedOn w:val="DefaultParagraphFont"/>
    <w:rsid w:val="00FA4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3DE"/>
    <w:rPr>
      <w:b/>
    </w:rPr>
  </w:style>
  <w:style w:type="character" w:customStyle="1" w:styleId="Underlined">
    <w:name w:val="Underlined"/>
    <w:basedOn w:val="DefaultParagraphFont"/>
    <w:rsid w:val="00FA43DE"/>
    <w:rPr>
      <w:u w:val="single"/>
    </w:rPr>
  </w:style>
  <w:style w:type="paragraph" w:customStyle="1" w:styleId="TableBodyTextRight">
    <w:name w:val="Table Body Text Right"/>
    <w:basedOn w:val="TableBodyText"/>
    <w:rsid w:val="00FA4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3DE"/>
    <w:rPr>
      <w:sz w:val="18"/>
    </w:rPr>
  </w:style>
  <w:style w:type="paragraph" w:customStyle="1" w:styleId="BodySmallRight">
    <w:name w:val="Body Small Right"/>
    <w:basedOn w:val="BodyTextRight"/>
    <w:rsid w:val="00FA43DE"/>
    <w:rPr>
      <w:sz w:val="18"/>
      <w:szCs w:val="18"/>
    </w:rPr>
  </w:style>
  <w:style w:type="paragraph" w:customStyle="1" w:styleId="MarginEdition">
    <w:name w:val="Margin Edition"/>
    <w:basedOn w:val="MarginNote"/>
    <w:rsid w:val="00FA4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3DE"/>
    <w:rPr>
      <w:sz w:val="2"/>
      <w:szCs w:val="2"/>
    </w:rPr>
  </w:style>
  <w:style w:type="character" w:customStyle="1" w:styleId="Small">
    <w:name w:val="Small"/>
    <w:basedOn w:val="DefaultParagraphFont"/>
    <w:rsid w:val="00FA43DE"/>
    <w:rPr>
      <w:sz w:val="16"/>
    </w:rPr>
  </w:style>
  <w:style w:type="paragraph" w:customStyle="1" w:styleId="WideTable">
    <w:name w:val="Wide Table"/>
    <w:basedOn w:val="Normal"/>
    <w:rsid w:val="00FA4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3DE"/>
  </w:style>
  <w:style w:type="paragraph" w:styleId="Quote">
    <w:name w:val="Quote"/>
    <w:basedOn w:val="Heading1"/>
    <w:link w:val="QuoteChar"/>
    <w:qFormat/>
    <w:rsid w:val="00FA4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3DE"/>
    <w:pPr>
      <w:pageBreakBefore/>
    </w:pPr>
  </w:style>
  <w:style w:type="paragraph" w:customStyle="1" w:styleId="Border">
    <w:name w:val="Border"/>
    <w:basedOn w:val="Normal"/>
    <w:qFormat/>
    <w:rsid w:val="00FA4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3DE"/>
    <w:rPr>
      <w:u w:val="single"/>
    </w:rPr>
  </w:style>
  <w:style w:type="character" w:customStyle="1" w:styleId="BoldandItalics">
    <w:name w:val="Bold and Italics"/>
    <w:qFormat/>
    <w:rsid w:val="00FA43DE"/>
    <w:rPr>
      <w:b/>
      <w:i/>
      <w:u w:val="none"/>
    </w:rPr>
  </w:style>
  <w:style w:type="paragraph" w:styleId="BalloonText">
    <w:name w:val="Balloon Text"/>
    <w:basedOn w:val="Normal"/>
    <w:link w:val="BalloonTextChar"/>
    <w:rsid w:val="00FA4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3DE"/>
    <w:pPr>
      <w:spacing w:before="0" w:after="0"/>
    </w:pPr>
  </w:style>
  <w:style w:type="paragraph" w:customStyle="1" w:styleId="BodyTextBold">
    <w:name w:val="Body Text Bold"/>
    <w:basedOn w:val="BodyText"/>
    <w:qFormat/>
    <w:rsid w:val="00FA43DE"/>
    <w:rPr>
      <w:b/>
    </w:rPr>
  </w:style>
  <w:style w:type="character" w:styleId="Hyperlink">
    <w:name w:val="Hyperlink"/>
    <w:basedOn w:val="DefaultParagraphFont"/>
    <w:uiPriority w:val="99"/>
    <w:unhideWhenUsed/>
    <w:rsid w:val="00CB6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2869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BSBOPS507X Manage organisational response to disruption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