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D1F" w:rsidP="00A13D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BSBOPS407X Support organisational response to disruption</w:t>
      </w:r>
      <w:r>
        <w:fldChar w:fldCharType="end"/>
      </w:r>
    </w:p>
    <w:p w:rsidR="00A13D1F" w:rsidP="00A13D1F">
      <w:pPr>
        <w:pStyle w:val="Version"/>
        <w:sectPr w:rsidSect="004206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06F9" w:rsidP="004206F9">
      <w:pPr>
        <w:pStyle w:val="SuperHeading"/>
      </w:pPr>
      <w:r w:rsidRPr="004206F9">
        <w:t>Assessment Requirements for BSBOPS407X Support organisational response to disruption</w:t>
      </w:r>
    </w:p>
    <w:p w:rsidR="00000000" w:rsidRPr="004206F9" w:rsidP="004206F9">
      <w:pPr>
        <w:pStyle w:val="Heading1"/>
      </w:pPr>
      <w:bookmarkStart w:id="1" w:name="O_1218922"/>
      <w:bookmarkEnd w:id="1"/>
      <w:r w:rsidRPr="004206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206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6F9" w:rsidP="004206F9">
            <w:pPr>
              <w:pStyle w:val="BodyText"/>
            </w:pPr>
            <w:r w:rsidRPr="004206F9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6F9">
            <w:pPr>
              <w:pStyle w:val="BodyText"/>
              <w:rPr>
                <w:lang w:val="en-NZ"/>
              </w:rPr>
            </w:pPr>
            <w:r w:rsidRPr="004206F9">
              <w:rPr>
                <w:rStyle w:val="SpecialBold"/>
              </w:rPr>
              <w:t>Comments</w:t>
            </w:r>
          </w:p>
        </w:tc>
      </w:tr>
      <w:tr w:rsidTr="004206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6F9">
            <w:pPr>
              <w:pStyle w:val="BodyText"/>
              <w:rPr>
                <w:lang w:val="en-NZ"/>
              </w:rPr>
            </w:pPr>
            <w:r w:rsidRPr="004206F9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6F9" w:rsidP="004206F9">
            <w:pPr>
              <w:pStyle w:val="BodyText"/>
            </w:pPr>
            <w:r w:rsidRPr="004206F9">
              <w:t>This version first released with the Business Services Training Package Version 8.0.</w:t>
            </w:r>
          </w:p>
          <w:p w:rsidR="00000000" w:rsidRPr="004206F9" w:rsidP="004206F9">
            <w:pPr>
              <w:pStyle w:val="BodyText"/>
            </w:pPr>
            <w:r w:rsidRPr="004206F9">
              <w:t>Newly created un</w:t>
            </w:r>
            <w:r w:rsidRPr="004206F9">
              <w:t>it.</w:t>
            </w:r>
          </w:p>
        </w:tc>
      </w:tr>
    </w:tbl>
    <w:p w:rsidR="00A13D1F" w:rsidP="004206F9">
      <w:pPr>
        <w:pStyle w:val="BodyText"/>
      </w:pPr>
    </w:p>
    <w:p w:rsidR="00A13D1F" w:rsidP="004206F9">
      <w:pPr>
        <w:pStyle w:val="BodyText"/>
      </w:pPr>
    </w:p>
    <w:p w:rsidR="00000000" w:rsidRPr="004206F9" w:rsidP="004206F9">
      <w:pPr>
        <w:pStyle w:val="Heading1"/>
      </w:pPr>
      <w:bookmarkStart w:id="2" w:name="O_1218923"/>
      <w:bookmarkEnd w:id="2"/>
      <w:r w:rsidRPr="004206F9">
        <w:t>Performance Evidence</w:t>
      </w:r>
    </w:p>
    <w:p w:rsidR="00000000" w:rsidRPr="004206F9" w:rsidP="00A13D1F">
      <w:pPr>
        <w:pStyle w:val="BodyText"/>
      </w:pPr>
      <w:r w:rsidRPr="004206F9">
        <w:t>The candidate must demonstrate the ability to complete the tasks outlined in the elements, performance criteria and foundation skills of this unit, including evidence of the ability to:</w:t>
      </w:r>
    </w:p>
    <w:p w:rsidR="00000000" w:rsidRPr="004206F9" w:rsidP="004206F9">
      <w:pPr>
        <w:pStyle w:val="ListBullet"/>
      </w:pPr>
      <w:r w:rsidRPr="004206F9">
        <w:t>support an organisatio</w:t>
      </w:r>
      <w:r w:rsidRPr="004206F9">
        <w:t>nal response to at least one disruptive event and evaluate the effectiveness of the response.</w:t>
      </w:r>
    </w:p>
    <w:p w:rsidR="00000000" w:rsidRPr="004206F9" w:rsidP="004206F9">
      <w:pPr>
        <w:pStyle w:val="BodyText"/>
      </w:pPr>
    </w:p>
    <w:p w:rsidR="00000000" w:rsidRPr="004206F9" w:rsidP="00A13D1F">
      <w:pPr>
        <w:pStyle w:val="BodyText"/>
      </w:pPr>
      <w:r w:rsidRPr="004206F9">
        <w:t>In the course of the above, the candidate must:</w:t>
      </w:r>
    </w:p>
    <w:p w:rsidR="00000000" w:rsidRPr="004206F9" w:rsidP="004206F9">
      <w:pPr>
        <w:pStyle w:val="ListBullet"/>
      </w:pPr>
      <w:r w:rsidRPr="004206F9">
        <w:t>comply with legislative requirements applicable to disruptive event</w:t>
      </w:r>
    </w:p>
    <w:p w:rsidR="00000000" w:rsidRPr="004206F9" w:rsidP="004206F9">
      <w:pPr>
        <w:pStyle w:val="ListBullet"/>
      </w:pPr>
      <w:r w:rsidRPr="004206F9">
        <w:t>adhere to organisational policies and procedures applicable to disruptive event.</w:t>
      </w:r>
    </w:p>
    <w:p w:rsidR="00000000" w:rsidRPr="004206F9" w:rsidP="004206F9">
      <w:pPr>
        <w:pStyle w:val="AllowPageBreak"/>
      </w:pPr>
    </w:p>
    <w:p w:rsidR="00000000" w:rsidRPr="004206F9" w:rsidP="004206F9">
      <w:pPr>
        <w:pStyle w:val="Heading1"/>
      </w:pPr>
      <w:bookmarkStart w:id="3" w:name="O_1218924"/>
      <w:bookmarkEnd w:id="3"/>
      <w:r w:rsidRPr="004206F9">
        <w:t>Knowledge Evidence</w:t>
      </w:r>
    </w:p>
    <w:p w:rsidR="00000000" w:rsidRPr="004206F9" w:rsidP="00A13D1F">
      <w:pPr>
        <w:pStyle w:val="BodyText"/>
      </w:pPr>
      <w:r w:rsidRPr="004206F9">
        <w:t>The candidate must be able to demonstrate knowledge to complete the tasks outlined in the elements, performance criteria and foundation s</w:t>
      </w:r>
      <w:r w:rsidRPr="004206F9">
        <w:t>kills of this unit, including knowledge of:</w:t>
      </w:r>
    </w:p>
    <w:p w:rsidR="00000000" w:rsidRPr="004206F9" w:rsidP="004206F9">
      <w:pPr>
        <w:pStyle w:val="ListBullet"/>
      </w:pPr>
      <w:r w:rsidRPr="004206F9">
        <w:t>types of organisational disruptive events, including:</w:t>
      </w:r>
    </w:p>
    <w:p w:rsidR="00000000" w:rsidRPr="004206F9" w:rsidP="004206F9">
      <w:pPr>
        <w:pStyle w:val="ListBullet2"/>
      </w:pPr>
      <w:r w:rsidRPr="004206F9">
        <w:t>public health risks, including epidemics and pandemics</w:t>
      </w:r>
    </w:p>
    <w:p w:rsidR="00000000" w:rsidRPr="004206F9" w:rsidP="004206F9">
      <w:pPr>
        <w:pStyle w:val="ListBullet2"/>
      </w:pPr>
      <w:r w:rsidRPr="004206F9">
        <w:t>environmental changes and natural disasters</w:t>
      </w:r>
    </w:p>
    <w:p w:rsidR="00000000" w:rsidRPr="004206F9" w:rsidP="004206F9">
      <w:pPr>
        <w:pStyle w:val="ListBullet2"/>
      </w:pPr>
      <w:r w:rsidRPr="004206F9">
        <w:t>economic and geopolitical disruption</w:t>
      </w:r>
    </w:p>
    <w:p w:rsidR="00000000" w:rsidRPr="004206F9" w:rsidP="004206F9">
      <w:pPr>
        <w:pStyle w:val="ListBullet2"/>
      </w:pPr>
      <w:r w:rsidRPr="004206F9">
        <w:t>civil unrest</w:t>
      </w:r>
    </w:p>
    <w:p w:rsidR="00000000" w:rsidRPr="004206F9" w:rsidP="004206F9">
      <w:pPr>
        <w:pStyle w:val="ListBullet2"/>
      </w:pPr>
      <w:r w:rsidRPr="004206F9">
        <w:t>cyber t</w:t>
      </w:r>
      <w:r w:rsidRPr="004206F9">
        <w:t>hreats</w:t>
      </w:r>
    </w:p>
    <w:p w:rsidR="00000000" w:rsidRPr="004206F9" w:rsidP="004206F9">
      <w:pPr>
        <w:pStyle w:val="ListBullet2"/>
      </w:pPr>
      <w:r w:rsidRPr="004206F9">
        <w:t>terrorist attacks</w:t>
      </w:r>
    </w:p>
    <w:p w:rsidR="00000000" w:rsidRPr="004206F9" w:rsidP="004206F9">
      <w:pPr>
        <w:pStyle w:val="ListBullet2"/>
      </w:pPr>
      <w:r w:rsidRPr="004206F9">
        <w:t>operational disruption, including mergers or acquisitions, litigation, operational transformation and technological developments</w:t>
      </w:r>
    </w:p>
    <w:p w:rsidR="00000000" w:rsidRPr="004206F9" w:rsidP="004206F9">
      <w:pPr>
        <w:pStyle w:val="ListBullet"/>
      </w:pPr>
      <w:r w:rsidRPr="004206F9">
        <w:t xml:space="preserve">types of internal and external business risks that may contribute to organisational disruption, </w:t>
      </w:r>
      <w:r w:rsidRPr="004206F9">
        <w:t>including:</w:t>
      </w:r>
    </w:p>
    <w:p w:rsidR="00000000" w:rsidRPr="004206F9" w:rsidP="004206F9">
      <w:pPr>
        <w:pStyle w:val="ListBullet2"/>
      </w:pPr>
      <w:r w:rsidRPr="004206F9">
        <w:t>strategic risks</w:t>
      </w:r>
    </w:p>
    <w:p w:rsidR="00000000" w:rsidRPr="004206F9" w:rsidP="004206F9">
      <w:pPr>
        <w:pStyle w:val="ListBullet2"/>
      </w:pPr>
      <w:r w:rsidRPr="004206F9">
        <w:t>compliance risks</w:t>
      </w:r>
    </w:p>
    <w:p w:rsidR="00000000" w:rsidRPr="004206F9" w:rsidP="004206F9">
      <w:pPr>
        <w:pStyle w:val="ListBullet2"/>
      </w:pPr>
      <w:r w:rsidRPr="004206F9">
        <w:t>financial risks</w:t>
      </w:r>
    </w:p>
    <w:p w:rsidR="00000000" w:rsidRPr="004206F9" w:rsidP="004206F9">
      <w:pPr>
        <w:pStyle w:val="ListBullet2"/>
      </w:pPr>
      <w:r w:rsidRPr="004206F9">
        <w:t>workplace health and safety risks</w:t>
      </w:r>
    </w:p>
    <w:p w:rsidR="00000000" w:rsidRPr="004206F9" w:rsidP="004206F9">
      <w:pPr>
        <w:pStyle w:val="ListBullet2"/>
      </w:pPr>
      <w:r w:rsidRPr="004206F9">
        <w:t>operational risks</w:t>
      </w:r>
    </w:p>
    <w:p w:rsidR="00000000" w:rsidRPr="004206F9" w:rsidP="004206F9">
      <w:pPr>
        <w:pStyle w:val="ListBullet"/>
      </w:pPr>
      <w:r w:rsidRPr="004206F9">
        <w:t>areas of organisation that may be impacted by disruptive events, including:</w:t>
      </w:r>
    </w:p>
    <w:p w:rsidR="00000000" w:rsidRPr="004206F9" w:rsidP="004206F9">
      <w:pPr>
        <w:pStyle w:val="ListBullet2"/>
      </w:pPr>
      <w:r w:rsidRPr="004206F9">
        <w:t>supply chain and operations</w:t>
      </w:r>
    </w:p>
    <w:p w:rsidR="00000000" w:rsidRPr="004206F9" w:rsidP="004206F9">
      <w:pPr>
        <w:pStyle w:val="ListBullet2"/>
      </w:pPr>
      <w:r w:rsidRPr="004206F9">
        <w:t>personnel</w:t>
      </w:r>
    </w:p>
    <w:p w:rsidR="00000000" w:rsidRPr="004206F9" w:rsidP="004206F9">
      <w:pPr>
        <w:pStyle w:val="ListBullet2"/>
      </w:pPr>
      <w:r w:rsidRPr="004206F9">
        <w:t>customer demands</w:t>
      </w:r>
    </w:p>
    <w:p w:rsidR="00000000" w:rsidRPr="004206F9" w:rsidP="004206F9">
      <w:pPr>
        <w:pStyle w:val="ListBullet2"/>
      </w:pPr>
      <w:r w:rsidRPr="004206F9">
        <w:t xml:space="preserve">workplace </w:t>
      </w:r>
      <w:r w:rsidRPr="004206F9">
        <w:t>health and safety</w:t>
      </w:r>
    </w:p>
    <w:p w:rsidR="00000000" w:rsidRPr="004206F9" w:rsidP="004206F9">
      <w:pPr>
        <w:pStyle w:val="ListBullet2"/>
      </w:pPr>
      <w:r w:rsidRPr="004206F9">
        <w:t>data</w:t>
      </w:r>
    </w:p>
    <w:p w:rsidR="00000000" w:rsidRPr="004206F9" w:rsidP="004206F9">
      <w:pPr>
        <w:pStyle w:val="ListBullet2"/>
      </w:pPr>
      <w:r w:rsidRPr="004206F9">
        <w:t>organisational culture</w:t>
      </w:r>
    </w:p>
    <w:p w:rsidR="00000000" w:rsidRPr="004206F9" w:rsidP="004206F9">
      <w:pPr>
        <w:pStyle w:val="ListBullet"/>
      </w:pPr>
      <w:r w:rsidRPr="004206F9">
        <w:t>key resources required to respond to disruption, including:</w:t>
      </w:r>
    </w:p>
    <w:p w:rsidR="00000000" w:rsidRPr="004206F9" w:rsidP="004206F9">
      <w:pPr>
        <w:pStyle w:val="ListBullet2"/>
      </w:pPr>
      <w:r w:rsidRPr="004206F9">
        <w:t>employees</w:t>
      </w:r>
    </w:p>
    <w:p w:rsidR="00000000" w:rsidRPr="004206F9" w:rsidP="004206F9">
      <w:pPr>
        <w:pStyle w:val="ListBullet2"/>
      </w:pPr>
      <w:r w:rsidRPr="004206F9">
        <w:t>financial modelling and outlooks</w:t>
      </w:r>
    </w:p>
    <w:p w:rsidR="00000000" w:rsidRPr="004206F9" w:rsidP="004206F9">
      <w:pPr>
        <w:pStyle w:val="ListBullet2"/>
      </w:pPr>
      <w:r w:rsidRPr="004206F9">
        <w:t>reskilling and upskilling techniques</w:t>
      </w:r>
    </w:p>
    <w:p w:rsidR="00000000" w:rsidRPr="004206F9" w:rsidP="004206F9">
      <w:pPr>
        <w:pStyle w:val="ListBullet2"/>
      </w:pPr>
      <w:r w:rsidRPr="004206F9">
        <w:t>organisational technology and tools</w:t>
      </w:r>
    </w:p>
    <w:p w:rsidR="00000000" w:rsidRPr="004206F9" w:rsidP="004206F9">
      <w:pPr>
        <w:pStyle w:val="ListBullet2"/>
      </w:pPr>
      <w:r w:rsidRPr="004206F9">
        <w:t>organisational policies and procedures</w:t>
      </w:r>
    </w:p>
    <w:p w:rsidR="00000000" w:rsidRPr="004206F9" w:rsidP="004206F9">
      <w:pPr>
        <w:pStyle w:val="ListBullet"/>
      </w:pPr>
      <w:r w:rsidRPr="004206F9">
        <w:t>organisational policies and procedures required to respond to disruptive events, including those relating to:</w:t>
      </w:r>
    </w:p>
    <w:p w:rsidR="00000000" w:rsidRPr="004206F9" w:rsidP="004206F9">
      <w:pPr>
        <w:pStyle w:val="ListBullet2"/>
      </w:pPr>
      <w:r w:rsidRPr="004206F9">
        <w:t>risk assessment</w:t>
      </w:r>
    </w:p>
    <w:p w:rsidR="00000000" w:rsidRPr="004206F9" w:rsidP="004206F9">
      <w:pPr>
        <w:pStyle w:val="ListBullet2"/>
      </w:pPr>
      <w:r w:rsidRPr="004206F9">
        <w:t>required documentation</w:t>
      </w:r>
    </w:p>
    <w:p w:rsidR="00000000" w:rsidRPr="004206F9" w:rsidP="004206F9">
      <w:pPr>
        <w:pStyle w:val="ListBullet2"/>
      </w:pPr>
      <w:r w:rsidRPr="004206F9">
        <w:t>training methods and materials</w:t>
      </w:r>
    </w:p>
    <w:p w:rsidR="00000000" w:rsidRPr="004206F9" w:rsidP="004206F9">
      <w:pPr>
        <w:pStyle w:val="ListBullet2"/>
      </w:pPr>
      <w:r w:rsidRPr="004206F9">
        <w:t>evaluation methods to assess effect</w:t>
      </w:r>
      <w:r w:rsidRPr="004206F9">
        <w:t>iveness of organisational responses</w:t>
      </w:r>
    </w:p>
    <w:p w:rsidR="00000000" w:rsidRPr="004206F9" w:rsidP="004206F9">
      <w:pPr>
        <w:pStyle w:val="ListBullet"/>
      </w:pPr>
      <w:r w:rsidRPr="004206F9">
        <w:t>legislative requirements associated with responding to disruptive events</w:t>
      </w:r>
    </w:p>
    <w:p w:rsidR="00000000" w:rsidRPr="004206F9" w:rsidP="004206F9">
      <w:pPr>
        <w:pStyle w:val="ListBullet"/>
      </w:pPr>
      <w:r w:rsidRPr="004206F9">
        <w:t>key features of organisational crisis management plan</w:t>
      </w:r>
    </w:p>
    <w:p w:rsidR="00000000" w:rsidRPr="004206F9" w:rsidP="004206F9">
      <w:pPr>
        <w:pStyle w:val="ListBullet"/>
      </w:pPr>
      <w:r w:rsidRPr="004206F9">
        <w:t>work health and safety (WHS) requirements associated with responding to disruptive events.</w:t>
      </w:r>
    </w:p>
    <w:p w:rsidR="00000000" w:rsidRPr="004206F9" w:rsidP="004206F9">
      <w:pPr>
        <w:pStyle w:val="AllowPageBreak"/>
      </w:pPr>
    </w:p>
    <w:p w:rsidR="00000000" w:rsidRPr="004206F9" w:rsidP="004206F9">
      <w:pPr>
        <w:pStyle w:val="Heading1"/>
      </w:pPr>
      <w:bookmarkStart w:id="4" w:name="O_1218925"/>
      <w:bookmarkEnd w:id="4"/>
      <w:r w:rsidRPr="004206F9">
        <w:t>Assessment Conditions</w:t>
      </w:r>
    </w:p>
    <w:p w:rsidR="00000000" w:rsidRPr="004206F9" w:rsidP="00A13D1F">
      <w:pPr>
        <w:pStyle w:val="BodyText"/>
      </w:pPr>
      <w:r w:rsidRPr="004206F9">
        <w:t>Skills in this unit must be demonstrated in a workplace or simulated environment where the conditions are typical of those in a working environment in this industry.</w:t>
      </w:r>
    </w:p>
    <w:p w:rsidR="00000000" w:rsidRPr="004206F9" w:rsidP="00A13D1F">
      <w:pPr>
        <w:pStyle w:val="BodyText"/>
      </w:pPr>
      <w:r w:rsidRPr="004206F9">
        <w:t>This includes access to:</w:t>
      </w:r>
    </w:p>
    <w:p w:rsidR="00000000" w:rsidRPr="004206F9" w:rsidP="004206F9">
      <w:pPr>
        <w:pStyle w:val="ListBullet"/>
      </w:pPr>
      <w:r w:rsidRPr="004206F9">
        <w:t>legislative requirements</w:t>
      </w:r>
      <w:r w:rsidRPr="004206F9">
        <w:t xml:space="preserve"> and organisational policies and procedures required to demonstrate performance evidence</w:t>
      </w:r>
    </w:p>
    <w:p w:rsidR="00000000" w:rsidRPr="004206F9" w:rsidP="004206F9">
      <w:pPr>
        <w:pStyle w:val="ListBullet"/>
      </w:pPr>
      <w:r w:rsidRPr="004206F9">
        <w:t>case studies and, where possible, real situations</w:t>
      </w:r>
    </w:p>
    <w:p w:rsidR="00000000" w:rsidRPr="004206F9" w:rsidP="004206F9">
      <w:pPr>
        <w:pStyle w:val="ListBullet"/>
      </w:pPr>
      <w:r w:rsidRPr="004206F9">
        <w:t>opportunities for interaction with others.</w:t>
      </w:r>
    </w:p>
    <w:p w:rsidR="00000000" w:rsidRPr="004206F9" w:rsidP="004206F9">
      <w:pPr>
        <w:pStyle w:val="BodyText"/>
      </w:pPr>
    </w:p>
    <w:p w:rsidR="00000000" w:rsidRPr="004206F9" w:rsidP="00A13D1F">
      <w:pPr>
        <w:pStyle w:val="BodyText"/>
      </w:pPr>
      <w:r w:rsidRPr="004206F9">
        <w:t>Assessors of this unit must satisfy the requirements for assessors in app</w:t>
      </w:r>
      <w:r w:rsidRPr="004206F9">
        <w:t>licable vocational education and training legislation, frameworks and/or standards.</w:t>
      </w:r>
    </w:p>
    <w:p w:rsidR="00000000" w:rsidRPr="004206F9" w:rsidP="004206F9">
      <w:pPr>
        <w:pStyle w:val="Heading1"/>
      </w:pPr>
      <w:bookmarkStart w:id="5" w:name="O_1218928"/>
      <w:bookmarkEnd w:id="5"/>
      <w:r w:rsidRPr="004206F9">
        <w:t>Links</w:t>
      </w:r>
    </w:p>
    <w:p w:rsidR="00000000" w:rsidRPr="004206F9" w:rsidP="00A13D1F">
      <w:pPr>
        <w:pStyle w:val="BodyText"/>
      </w:pPr>
      <w:r w:rsidRPr="004206F9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7276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206F9" w:rsidP="004206F9"/>
    <w:sectPr w:rsidSect="004206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6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6F9" w:rsidRPr="00A13D1F" w:rsidP="00A13D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6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1F" w:rsidP="004206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3D1F" w:rsidP="004206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3D1F" w:rsidP="004206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6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6F9" w:rsidRPr="00A13D1F" w:rsidP="00A13D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6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1F" w:rsidRPr="002D2AF8" w:rsidP="004206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BSBOPS407X Support organisational response to disruption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13D1F" w:rsidP="004206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B051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D098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52BC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6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6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6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6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6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6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6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6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6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6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6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6F9"/>
  </w:style>
  <w:style w:type="character" w:customStyle="1" w:styleId="Heading1Char">
    <w:name w:val="Heading 1 Char"/>
    <w:basedOn w:val="DefaultParagraphFont"/>
    <w:link w:val="Heading1"/>
    <w:rsid w:val="004206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6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6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06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06F9"/>
    <w:rPr>
      <w:b/>
      <w:spacing w:val="0"/>
    </w:rPr>
  </w:style>
  <w:style w:type="paragraph" w:styleId="ListBullet2">
    <w:name w:val="List Bullet 2"/>
    <w:basedOn w:val="List2"/>
    <w:rsid w:val="004206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06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6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06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6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6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6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6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6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6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6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6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6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6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6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6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6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6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6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6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6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06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06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06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6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6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06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6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6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6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6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6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6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6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6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06F9"/>
    <w:rPr>
      <w:i/>
    </w:rPr>
  </w:style>
  <w:style w:type="paragraph" w:styleId="Caption">
    <w:name w:val="caption"/>
    <w:basedOn w:val="BodyText"/>
    <w:next w:val="Normal"/>
    <w:qFormat/>
    <w:rsid w:val="004206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6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6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6F9"/>
  </w:style>
  <w:style w:type="paragraph" w:styleId="TableofFigures">
    <w:name w:val="table of figures"/>
    <w:basedOn w:val="Normal"/>
    <w:next w:val="Normal"/>
    <w:semiHidden/>
    <w:rsid w:val="004206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6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06F9"/>
    <w:rPr>
      <w:rFonts w:ascii="Wingdings" w:hAnsi="Wingdings"/>
    </w:rPr>
  </w:style>
  <w:style w:type="paragraph" w:customStyle="1" w:styleId="TableHeading">
    <w:name w:val="Table Heading"/>
    <w:basedOn w:val="HeadingBase"/>
    <w:rsid w:val="004206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6F9"/>
    <w:rPr>
      <w:color w:val="0033CC"/>
      <w:u w:val="none"/>
    </w:rPr>
  </w:style>
  <w:style w:type="paragraph" w:customStyle="1" w:styleId="BodyTextRight">
    <w:name w:val="Body Text Right"/>
    <w:basedOn w:val="BodyText"/>
    <w:rsid w:val="004206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6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6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6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6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6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6F9"/>
    <w:rPr>
      <w:sz w:val="32"/>
    </w:rPr>
  </w:style>
  <w:style w:type="paragraph" w:customStyle="1" w:styleId="HeadingProcedure">
    <w:name w:val="Heading Procedure"/>
    <w:basedOn w:val="HeadingBase"/>
    <w:next w:val="Normal"/>
    <w:rsid w:val="004206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6F9"/>
    <w:pPr>
      <w:spacing w:before="60" w:after="60"/>
    </w:pPr>
  </w:style>
  <w:style w:type="paragraph" w:styleId="ListContinue">
    <w:name w:val="List Continue"/>
    <w:basedOn w:val="List"/>
    <w:rsid w:val="004206F9"/>
    <w:pPr>
      <w:ind w:firstLine="0"/>
    </w:pPr>
  </w:style>
  <w:style w:type="paragraph" w:customStyle="1" w:styleId="ListNote">
    <w:name w:val="List Note"/>
    <w:basedOn w:val="List"/>
    <w:rsid w:val="004206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6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6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6F9"/>
    <w:rPr>
      <w:rFonts w:ascii="Courier New" w:hAnsi="Courier New"/>
    </w:rPr>
  </w:style>
  <w:style w:type="paragraph" w:customStyle="1" w:styleId="NoteBullet">
    <w:name w:val="Note Bullet"/>
    <w:basedOn w:val="Note"/>
    <w:rsid w:val="004206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6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6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6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6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06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6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6F9"/>
    <w:rPr>
      <w:b/>
      <w:smallCaps/>
    </w:rPr>
  </w:style>
  <w:style w:type="paragraph" w:customStyle="1" w:styleId="TableListNumber">
    <w:name w:val="Table List Number"/>
    <w:basedOn w:val="ListNumber"/>
    <w:rsid w:val="004206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6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6F9"/>
    <w:pPr>
      <w:numPr>
        <w:numId w:val="9"/>
      </w:numPr>
    </w:pPr>
  </w:style>
  <w:style w:type="paragraph" w:customStyle="1" w:styleId="ListAlpha2">
    <w:name w:val="List Alpha 2"/>
    <w:basedOn w:val="List2"/>
    <w:rsid w:val="004206F9"/>
    <w:pPr>
      <w:numPr>
        <w:numId w:val="8"/>
      </w:numPr>
    </w:pPr>
  </w:style>
  <w:style w:type="paragraph" w:styleId="List2">
    <w:name w:val="List 2"/>
    <w:basedOn w:val="BodyText"/>
    <w:rsid w:val="004206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6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6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6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6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6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06F9"/>
    <w:pPr>
      <w:numPr>
        <w:numId w:val="4"/>
      </w:numPr>
    </w:pPr>
  </w:style>
  <w:style w:type="paragraph" w:styleId="ListContinue2">
    <w:name w:val="List Continue 2"/>
    <w:basedOn w:val="List2"/>
    <w:rsid w:val="004206F9"/>
    <w:pPr>
      <w:ind w:firstLine="0"/>
    </w:pPr>
  </w:style>
  <w:style w:type="paragraph" w:styleId="ListContinue3">
    <w:name w:val="List Continue 3"/>
    <w:basedOn w:val="List3"/>
    <w:rsid w:val="004206F9"/>
    <w:pPr>
      <w:ind w:left="1021" w:firstLine="0"/>
    </w:pPr>
  </w:style>
  <w:style w:type="paragraph" w:styleId="ListContinue4">
    <w:name w:val="List Continue 4"/>
    <w:basedOn w:val="List4"/>
    <w:rsid w:val="004206F9"/>
    <w:pPr>
      <w:ind w:firstLine="0"/>
    </w:pPr>
  </w:style>
  <w:style w:type="paragraph" w:styleId="ListContinue5">
    <w:name w:val="List Continue 5"/>
    <w:basedOn w:val="List5"/>
    <w:rsid w:val="004206F9"/>
    <w:pPr>
      <w:ind w:firstLine="0"/>
    </w:pPr>
  </w:style>
  <w:style w:type="paragraph" w:styleId="ListNumber3">
    <w:name w:val="List Number 3"/>
    <w:basedOn w:val="List3"/>
    <w:rsid w:val="004206F9"/>
    <w:pPr>
      <w:numPr>
        <w:numId w:val="5"/>
      </w:numPr>
    </w:pPr>
  </w:style>
  <w:style w:type="paragraph" w:styleId="ListNumber4">
    <w:name w:val="List Number 4"/>
    <w:basedOn w:val="List4"/>
    <w:rsid w:val="004206F9"/>
    <w:pPr>
      <w:numPr>
        <w:numId w:val="6"/>
      </w:numPr>
    </w:pPr>
  </w:style>
  <w:style w:type="paragraph" w:styleId="ListNumber5">
    <w:name w:val="List Number 5"/>
    <w:basedOn w:val="List5"/>
    <w:rsid w:val="004206F9"/>
    <w:pPr>
      <w:numPr>
        <w:numId w:val="7"/>
      </w:numPr>
    </w:pPr>
  </w:style>
  <w:style w:type="paragraph" w:styleId="BlockText">
    <w:name w:val="Block Text"/>
    <w:basedOn w:val="Normal"/>
    <w:rsid w:val="004206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6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6F9"/>
    <w:rPr>
      <w:sz w:val="16"/>
      <w:vertAlign w:val="superscript"/>
    </w:rPr>
  </w:style>
  <w:style w:type="character" w:customStyle="1" w:styleId="Symbols">
    <w:name w:val="Symbols"/>
    <w:basedOn w:val="DefaultParagraphFont"/>
    <w:rsid w:val="004206F9"/>
    <w:rPr>
      <w:rFonts w:ascii="Symbol" w:hAnsi="Symbol"/>
    </w:rPr>
  </w:style>
  <w:style w:type="character" w:customStyle="1" w:styleId="MenuOptions">
    <w:name w:val="Menu Options"/>
    <w:basedOn w:val="DefaultParagraphFont"/>
    <w:rsid w:val="004206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6F9"/>
    <w:rPr>
      <w:b/>
    </w:rPr>
  </w:style>
  <w:style w:type="character" w:customStyle="1" w:styleId="Underlined">
    <w:name w:val="Underlined"/>
    <w:basedOn w:val="DefaultParagraphFont"/>
    <w:rsid w:val="004206F9"/>
    <w:rPr>
      <w:u w:val="single"/>
    </w:rPr>
  </w:style>
  <w:style w:type="paragraph" w:customStyle="1" w:styleId="TableBodyTextRight">
    <w:name w:val="Table Body Text Right"/>
    <w:basedOn w:val="TableBodyText"/>
    <w:rsid w:val="004206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6F9"/>
    <w:rPr>
      <w:sz w:val="18"/>
    </w:rPr>
  </w:style>
  <w:style w:type="paragraph" w:customStyle="1" w:styleId="BodySmallRight">
    <w:name w:val="Body Small Right"/>
    <w:basedOn w:val="BodyTextRight"/>
    <w:rsid w:val="004206F9"/>
    <w:rPr>
      <w:sz w:val="18"/>
      <w:szCs w:val="18"/>
    </w:rPr>
  </w:style>
  <w:style w:type="paragraph" w:customStyle="1" w:styleId="MarginEdition">
    <w:name w:val="Margin Edition"/>
    <w:basedOn w:val="MarginNote"/>
    <w:rsid w:val="004206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6F9"/>
    <w:rPr>
      <w:sz w:val="2"/>
      <w:szCs w:val="2"/>
    </w:rPr>
  </w:style>
  <w:style w:type="character" w:customStyle="1" w:styleId="Small">
    <w:name w:val="Small"/>
    <w:basedOn w:val="DefaultParagraphFont"/>
    <w:rsid w:val="004206F9"/>
    <w:rPr>
      <w:sz w:val="16"/>
    </w:rPr>
  </w:style>
  <w:style w:type="paragraph" w:customStyle="1" w:styleId="WideTable">
    <w:name w:val="Wide Table"/>
    <w:basedOn w:val="Normal"/>
    <w:rsid w:val="004206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6F9"/>
  </w:style>
  <w:style w:type="paragraph" w:styleId="Quote">
    <w:name w:val="Quote"/>
    <w:basedOn w:val="Heading1"/>
    <w:link w:val="QuoteChar"/>
    <w:qFormat/>
    <w:rsid w:val="004206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6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6F9"/>
    <w:pPr>
      <w:pageBreakBefore/>
    </w:pPr>
  </w:style>
  <w:style w:type="paragraph" w:customStyle="1" w:styleId="Border">
    <w:name w:val="Border"/>
    <w:basedOn w:val="Normal"/>
    <w:qFormat/>
    <w:rsid w:val="004206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6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6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6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6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6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6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6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6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6F9"/>
    <w:rPr>
      <w:u w:val="single"/>
    </w:rPr>
  </w:style>
  <w:style w:type="character" w:customStyle="1" w:styleId="BoldandItalics">
    <w:name w:val="Bold and Italics"/>
    <w:qFormat/>
    <w:rsid w:val="004206F9"/>
    <w:rPr>
      <w:b/>
      <w:i/>
      <w:u w:val="none"/>
    </w:rPr>
  </w:style>
  <w:style w:type="paragraph" w:styleId="BalloonText">
    <w:name w:val="Balloon Text"/>
    <w:basedOn w:val="Normal"/>
    <w:link w:val="BalloonTextChar"/>
    <w:rsid w:val="00420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6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6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6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6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6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6F9"/>
    <w:pPr>
      <w:spacing w:before="0" w:after="0"/>
    </w:pPr>
  </w:style>
  <w:style w:type="paragraph" w:customStyle="1" w:styleId="BodyTextBold">
    <w:name w:val="Body Text Bold"/>
    <w:basedOn w:val="BodyText"/>
    <w:qFormat/>
    <w:rsid w:val="004206F9"/>
    <w:rPr>
      <w:b/>
    </w:rPr>
  </w:style>
  <w:style w:type="character" w:styleId="Hyperlink">
    <w:name w:val="Hyperlink"/>
    <w:basedOn w:val="DefaultParagraphFont"/>
    <w:uiPriority w:val="99"/>
    <w:unhideWhenUsed/>
    <w:rsid w:val="00A13D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2980</Characters>
  <Application>Microsoft Office Word</Application>
  <DocSecurity>0</DocSecurity>
  <Lines>90</Lines>
  <Paragraphs>72</Paragraphs>
  <ScaleCrop>false</ScaleCrop>
  <Company>Author-it Software Corporation Ltd.</Company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BSBOPS407X Support organisational response to disruption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2023-02-03T06:16:00Z</dcterms:created>
  <dcterms:modified xsi:type="dcterms:W3CDTF">2023-02-03T06:16:00Z</dcterms:modified>
</cp:coreProperties>
</file>