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437" w:rsidP="00086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BSBMKG440 Apply marketing communication across a convergent industry</w:t>
      </w:r>
      <w:r>
        <w:fldChar w:fldCharType="end"/>
      </w:r>
    </w:p>
    <w:p w:rsidR="00086437" w:rsidP="00086437">
      <w:pPr>
        <w:pStyle w:val="Version"/>
        <w:sectPr w:rsidSect="00DF2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C57" w:rsidP="00DF2C57">
      <w:pPr>
        <w:pStyle w:val="SuperHeading"/>
      </w:pPr>
      <w:r w:rsidRPr="00DF2C57">
        <w:t>Assessment Requirements for BSBMKG440 Apply marketing communication across a convergent industry</w:t>
      </w:r>
    </w:p>
    <w:p w:rsidR="00000000" w:rsidRPr="00DF2C57" w:rsidP="00DF2C57">
      <w:pPr>
        <w:pStyle w:val="Heading1"/>
      </w:pPr>
      <w:bookmarkStart w:id="1" w:name="O_1124560"/>
      <w:bookmarkEnd w:id="1"/>
      <w:r w:rsidRPr="00DF2C5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F2C5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57" w:rsidP="00DF2C57">
            <w:pPr>
              <w:pStyle w:val="BodyText"/>
            </w:pPr>
            <w:r w:rsidRPr="00DF2C57">
              <w:rPr>
                <w:rStyle w:val="SpecialBold"/>
              </w:rPr>
              <w:t>Release</w:t>
            </w:r>
            <w:r w:rsidRPr="00DF2C5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57">
            <w:pPr>
              <w:pStyle w:val="BodyText"/>
              <w:rPr>
                <w:lang w:val="en-NZ"/>
              </w:rPr>
            </w:pPr>
            <w:r w:rsidRPr="00DF2C57">
              <w:rPr>
                <w:rStyle w:val="SpecialBold"/>
              </w:rPr>
              <w:t>Comments</w:t>
            </w:r>
            <w:r w:rsidRPr="00DF2C57">
              <w:t> </w:t>
            </w:r>
          </w:p>
        </w:tc>
      </w:tr>
      <w:tr w:rsidTr="00DF2C5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57">
            <w:pPr>
              <w:pStyle w:val="BodyText"/>
              <w:rPr>
                <w:lang w:val="en-NZ"/>
              </w:rPr>
            </w:pPr>
            <w:r w:rsidRPr="00DF2C5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57" w:rsidP="00DF2C57">
            <w:pPr>
              <w:pStyle w:val="BodyText"/>
            </w:pPr>
            <w:r w:rsidRPr="00DF2C57">
              <w:t>This version first released with BSB Business Services Training Package Version 7.0.</w:t>
            </w:r>
          </w:p>
        </w:tc>
      </w:tr>
    </w:tbl>
    <w:p w:rsidR="00000000" w:rsidRPr="00DF2C57" w:rsidP="00DF2C57">
      <w:pPr>
        <w:pStyle w:val="BodyText"/>
      </w:pPr>
    </w:p>
    <w:p w:rsidR="00000000" w:rsidRPr="00DF2C57" w:rsidP="00DF2C57">
      <w:pPr>
        <w:pStyle w:val="AllowPageBreak"/>
      </w:pPr>
    </w:p>
    <w:p w:rsidR="00000000" w:rsidRPr="00DF2C57" w:rsidP="00DF2C57">
      <w:pPr>
        <w:pStyle w:val="Heading1"/>
      </w:pPr>
      <w:bookmarkStart w:id="2" w:name="O_1124563"/>
      <w:bookmarkEnd w:id="2"/>
      <w:r w:rsidRPr="00DF2C57">
        <w:t>Performance Evidence</w:t>
      </w:r>
    </w:p>
    <w:p w:rsidR="00000000" w:rsidRPr="00DF2C57" w:rsidP="00086437">
      <w:pPr>
        <w:pStyle w:val="BodyText"/>
      </w:pPr>
      <w:r w:rsidRPr="00DF2C57">
        <w:t>The candidate must demonstrate the ability to complete the tasks outlined in the elements, performance criteria and foundation skills of this unit, including evidence of the ability to:</w:t>
      </w:r>
    </w:p>
    <w:p w:rsidR="00000000" w:rsidRPr="00DF2C57" w:rsidP="00DF2C57">
      <w:pPr>
        <w:pStyle w:val="ListBullet"/>
      </w:pPr>
      <w:r w:rsidRPr="00DF2C57">
        <w:t xml:space="preserve">apply marketing communication </w:t>
      </w:r>
      <w:r w:rsidRPr="00DF2C57">
        <w:t xml:space="preserve">to one product or service across convergent media sectors. </w:t>
      </w:r>
    </w:p>
    <w:p w:rsidR="00000000" w:rsidRPr="00DF2C57" w:rsidP="00086437">
      <w:pPr>
        <w:pStyle w:val="BodyText"/>
      </w:pPr>
      <w:r w:rsidRPr="00DF2C57">
        <w:t xml:space="preserve">In the course of the above, the candidate must: </w:t>
      </w:r>
    </w:p>
    <w:p w:rsidR="00000000" w:rsidRPr="00DF2C57" w:rsidP="00DF2C57">
      <w:pPr>
        <w:pStyle w:val="ListBullet"/>
      </w:pPr>
      <w:r w:rsidRPr="00DF2C57">
        <w:t>identify the convergent environment for marketing communication in establishing a client solution, including:</w:t>
      </w:r>
    </w:p>
    <w:p w:rsidR="00000000" w:rsidRPr="00DF2C57" w:rsidP="00DF2C57">
      <w:pPr>
        <w:pStyle w:val="ListBullet2"/>
      </w:pPr>
      <w:r w:rsidRPr="00DF2C57">
        <w:t>reviewing the traditional roles and</w:t>
      </w:r>
      <w:r w:rsidRPr="00DF2C57">
        <w:t xml:space="preserve"> client groups serviced by the marketing, advertising and public relations sectors</w:t>
      </w:r>
    </w:p>
    <w:p w:rsidR="00000000" w:rsidRPr="00DF2C57" w:rsidP="00DF2C57">
      <w:pPr>
        <w:pStyle w:val="ListBullet2"/>
      </w:pPr>
      <w:r w:rsidRPr="00DF2C57">
        <w:t>using the impact of capacity in communications technology</w:t>
      </w:r>
    </w:p>
    <w:p w:rsidR="00000000" w:rsidRPr="00DF2C57" w:rsidP="00DF2C57">
      <w:pPr>
        <w:pStyle w:val="ListBullet2"/>
      </w:pPr>
      <w:r w:rsidRPr="00DF2C57">
        <w:t>using the impact of ubiquitous enabled mobile devices</w:t>
      </w:r>
    </w:p>
    <w:p w:rsidR="00000000" w:rsidRPr="00DF2C57" w:rsidP="00DF2C57">
      <w:pPr>
        <w:pStyle w:val="ListBullet2"/>
      </w:pPr>
      <w:r w:rsidRPr="00DF2C57">
        <w:t>integrating the rise in ‘customer-centric’ and the ‘</w:t>
      </w:r>
      <w:r w:rsidRPr="00DF2C57">
        <w:t>empowered customer’ in client solutions</w:t>
      </w:r>
    </w:p>
    <w:p w:rsidR="00000000" w:rsidRPr="00DF2C57" w:rsidP="00DF2C57">
      <w:pPr>
        <w:pStyle w:val="ListBullet"/>
      </w:pPr>
      <w:r w:rsidRPr="00DF2C57">
        <w:t>develop client and customer messaging that can be engaged by a target group across multiple distribution points</w:t>
      </w:r>
    </w:p>
    <w:p w:rsidR="00000000" w:rsidRPr="00DF2C57" w:rsidP="00DF2C57">
      <w:pPr>
        <w:pStyle w:val="ListBullet"/>
      </w:pPr>
      <w:r w:rsidRPr="00DF2C57">
        <w:t>create fit-for-purpose tools, techniques and solutions that are effective within a convergent media env</w:t>
      </w:r>
      <w:r w:rsidRPr="00DF2C57">
        <w:t xml:space="preserve">ironment and verify with relevant personnel </w:t>
      </w:r>
    </w:p>
    <w:p w:rsidR="00000000" w:rsidRPr="00DF2C57" w:rsidP="00DF2C57">
      <w:pPr>
        <w:pStyle w:val="ListBullet"/>
      </w:pPr>
      <w:r w:rsidRPr="00DF2C57">
        <w:t>establish processes that empower customers</w:t>
      </w:r>
    </w:p>
    <w:p w:rsidR="00000000" w:rsidRPr="00DF2C57" w:rsidP="00DF2C57">
      <w:pPr>
        <w:pStyle w:val="ListBullet"/>
      </w:pPr>
      <w:r w:rsidRPr="00DF2C57">
        <w:t>work with client and customers to implement an integrated solution within a highly iterative environment</w:t>
      </w:r>
    </w:p>
    <w:p w:rsidR="00000000" w:rsidRPr="00DF2C57" w:rsidP="00DF2C57">
      <w:pPr>
        <w:pStyle w:val="ListBullet"/>
      </w:pPr>
      <w:r w:rsidRPr="00DF2C57">
        <w:t>engage with experts and others within the industry.</w:t>
      </w:r>
    </w:p>
    <w:p w:rsidR="00000000" w:rsidRPr="00DF2C57" w:rsidP="00DF2C57">
      <w:pPr>
        <w:pStyle w:val="AllowPageBreak"/>
      </w:pPr>
    </w:p>
    <w:p w:rsidR="00000000" w:rsidRPr="00DF2C57" w:rsidP="00DF2C57">
      <w:pPr>
        <w:pStyle w:val="Heading1"/>
      </w:pPr>
      <w:bookmarkStart w:id="3" w:name="O_1124562"/>
      <w:bookmarkEnd w:id="3"/>
      <w:r w:rsidRPr="00DF2C57">
        <w:t>Knowledge Evidence</w:t>
      </w:r>
    </w:p>
    <w:p w:rsidR="00000000" w:rsidRPr="00DF2C57" w:rsidP="00086437">
      <w:pPr>
        <w:pStyle w:val="BodyText"/>
      </w:pPr>
      <w:r w:rsidRPr="00DF2C57">
        <w:t>The candidate must be able to demonstrate knowledge to complete the tasks outlined in the elements, performance criteria and foundation skills of this unit, including knowledge of:</w:t>
      </w:r>
    </w:p>
    <w:p w:rsidR="00000000" w:rsidRPr="00DF2C57" w:rsidP="00DF2C57">
      <w:pPr>
        <w:pStyle w:val="ListBullet"/>
      </w:pPr>
      <w:r w:rsidRPr="00DF2C57">
        <w:t>characteristics of convergent approaches to mar</w:t>
      </w:r>
      <w:r w:rsidRPr="00DF2C57">
        <w:t>keting communication</w:t>
      </w:r>
    </w:p>
    <w:p w:rsidR="00000000" w:rsidRPr="00DF2C57" w:rsidP="00DF2C57">
      <w:pPr>
        <w:pStyle w:val="ListBullet"/>
      </w:pPr>
      <w:r w:rsidRPr="00DF2C57">
        <w:t>customers role within convergent marketing</w:t>
      </w:r>
    </w:p>
    <w:p w:rsidR="00000000" w:rsidRPr="00DF2C57" w:rsidP="00DF2C57">
      <w:pPr>
        <w:pStyle w:val="ListBullet"/>
      </w:pPr>
      <w:r w:rsidRPr="00DF2C57">
        <w:t>impact of convergence on traditional marketing approaches</w:t>
      </w:r>
    </w:p>
    <w:p w:rsidR="00000000" w:rsidRPr="00DF2C57" w:rsidP="00DF2C57">
      <w:pPr>
        <w:pStyle w:val="ListBullet"/>
      </w:pPr>
      <w:r w:rsidRPr="00DF2C57">
        <w:t>current technologies and distributed services that impact on convergent solutions</w:t>
      </w:r>
    </w:p>
    <w:p w:rsidR="00000000" w:rsidRPr="00DF2C57" w:rsidP="00DF2C57">
      <w:pPr>
        <w:pStyle w:val="ListBullet"/>
      </w:pPr>
      <w:r w:rsidRPr="00DF2C57">
        <w:t xml:space="preserve">situations requiring engagement of technology experts </w:t>
      </w:r>
    </w:p>
    <w:p w:rsidR="00000000" w:rsidRPr="00DF2C57" w:rsidP="00DF2C57">
      <w:pPr>
        <w:pStyle w:val="ListBullet"/>
      </w:pPr>
      <w:r w:rsidRPr="00DF2C57">
        <w:t>type of experts and business networks appropriate to a convergent marketing solution</w:t>
      </w:r>
    </w:p>
    <w:p w:rsidR="00000000" w:rsidRPr="00DF2C57" w:rsidP="00DF2C57">
      <w:pPr>
        <w:pStyle w:val="ListBullet"/>
      </w:pPr>
      <w:r w:rsidRPr="00DF2C57">
        <w:t>legislation, regulation and organisational policy to the field of marketing communication.</w:t>
      </w:r>
    </w:p>
    <w:p w:rsidR="00000000" w:rsidRPr="00DF2C57" w:rsidP="00DF2C57">
      <w:pPr>
        <w:pStyle w:val="AllowPageBreak"/>
      </w:pPr>
    </w:p>
    <w:p w:rsidR="00000000" w:rsidRPr="00DF2C57" w:rsidP="00DF2C57">
      <w:pPr>
        <w:pStyle w:val="Heading1"/>
      </w:pPr>
      <w:bookmarkStart w:id="4" w:name="O_1124561"/>
      <w:bookmarkEnd w:id="4"/>
      <w:r w:rsidRPr="00DF2C57">
        <w:t>Assess</w:t>
      </w:r>
      <w:r w:rsidRPr="00DF2C57">
        <w:t>ment Conditions</w:t>
      </w:r>
    </w:p>
    <w:p w:rsidR="00000000" w:rsidRPr="00DF2C57" w:rsidP="00086437">
      <w:pPr>
        <w:pStyle w:val="BodyText"/>
      </w:pPr>
      <w:r w:rsidRPr="00DF2C57">
        <w:t xml:space="preserve">Skills in this unit must be demonstrated in a workplace or simulated environment where the conditions are typical of those in a working environment in this industry. </w:t>
      </w:r>
    </w:p>
    <w:p w:rsidR="00000000" w:rsidRPr="00DF2C57" w:rsidP="00086437">
      <w:pPr>
        <w:pStyle w:val="BodyText"/>
      </w:pPr>
      <w:r w:rsidRPr="00DF2C57">
        <w:t>This includes access to:</w:t>
      </w:r>
    </w:p>
    <w:p w:rsidR="00000000" w:rsidRPr="00DF2C57" w:rsidP="00DF2C57">
      <w:pPr>
        <w:pStyle w:val="ListBullet"/>
      </w:pPr>
      <w:r w:rsidRPr="00DF2C57">
        <w:t>legislation and regulations relevant to marketi</w:t>
      </w:r>
      <w:r w:rsidRPr="00DF2C57">
        <w:t>ng across a convergent industry</w:t>
      </w:r>
    </w:p>
    <w:p w:rsidR="00000000" w:rsidRPr="00DF2C57" w:rsidP="00DF2C57">
      <w:pPr>
        <w:pStyle w:val="ListBullet"/>
      </w:pPr>
      <w:r w:rsidRPr="00DF2C57">
        <w:t>workplace documentation and resources for marketing across a convergent industry.</w:t>
      </w:r>
    </w:p>
    <w:p w:rsidR="00000000" w:rsidRPr="00DF2C57" w:rsidP="00DF2C57">
      <w:pPr>
        <w:pStyle w:val="BodyText"/>
      </w:pPr>
    </w:p>
    <w:p w:rsidR="00000000" w:rsidRPr="00DF2C57" w:rsidP="00086437">
      <w:pPr>
        <w:pStyle w:val="BodyText"/>
      </w:pPr>
      <w:r w:rsidRPr="00DF2C57">
        <w:t>Assessors of this unit must satisfy the requirements for assessors in applicable vocational education and training legislation, frameworks an</w:t>
      </w:r>
      <w:r w:rsidRPr="00DF2C57">
        <w:t>d/or standards.</w:t>
      </w:r>
    </w:p>
    <w:p w:rsidR="00000000" w:rsidRPr="00DF2C57" w:rsidP="00DF2C57">
      <w:pPr>
        <w:pStyle w:val="Heading1"/>
      </w:pPr>
      <w:bookmarkStart w:id="5" w:name="O_1124559"/>
      <w:bookmarkEnd w:id="5"/>
      <w:r w:rsidRPr="00DF2C57">
        <w:t>Links</w:t>
      </w:r>
    </w:p>
    <w:p w:rsidR="00000000" w:rsidRPr="00DF2C57" w:rsidP="00086437">
      <w:pPr>
        <w:pStyle w:val="BodyText"/>
      </w:pPr>
      <w:r w:rsidRPr="00DF2C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1C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2C57" w:rsidP="00DF2C57"/>
    <w:sectPr w:rsidSect="00DF2C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57" w:rsidRPr="00086437" w:rsidP="00086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37" w:rsidP="00DF2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437" w:rsidP="00DF2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437" w:rsidP="00DF2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C57" w:rsidRPr="00086437" w:rsidP="00086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37" w:rsidRPr="002D2AF8" w:rsidP="00DF2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BSBMKG440 Apply marketing communication across a convergent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86437" w:rsidP="00DF2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E1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C24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A8D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C57"/>
  </w:style>
  <w:style w:type="character" w:customStyle="1" w:styleId="Heading1Char">
    <w:name w:val="Heading 1 Char"/>
    <w:basedOn w:val="DefaultParagraphFont"/>
    <w:link w:val="Heading1"/>
    <w:rsid w:val="00DF2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C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C57"/>
    <w:rPr>
      <w:b/>
      <w:spacing w:val="0"/>
    </w:rPr>
  </w:style>
  <w:style w:type="paragraph" w:styleId="ListBullet2">
    <w:name w:val="List Bullet 2"/>
    <w:basedOn w:val="List2"/>
    <w:rsid w:val="00DF2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2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C57"/>
    <w:rPr>
      <w:i/>
    </w:rPr>
  </w:style>
  <w:style w:type="paragraph" w:styleId="Caption">
    <w:name w:val="caption"/>
    <w:basedOn w:val="BodyText"/>
    <w:next w:val="Normal"/>
    <w:qFormat/>
    <w:rsid w:val="00DF2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C57"/>
  </w:style>
  <w:style w:type="paragraph" w:styleId="TableofFigures">
    <w:name w:val="table of figures"/>
    <w:basedOn w:val="Normal"/>
    <w:next w:val="Normal"/>
    <w:semiHidden/>
    <w:rsid w:val="00DF2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2C57"/>
    <w:rPr>
      <w:rFonts w:ascii="Wingdings" w:hAnsi="Wingdings"/>
    </w:rPr>
  </w:style>
  <w:style w:type="paragraph" w:customStyle="1" w:styleId="TableHeading">
    <w:name w:val="Table Heading"/>
    <w:basedOn w:val="HeadingBase"/>
    <w:rsid w:val="00DF2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C57"/>
    <w:rPr>
      <w:color w:val="0033CC"/>
      <w:u w:val="none"/>
    </w:rPr>
  </w:style>
  <w:style w:type="paragraph" w:customStyle="1" w:styleId="BodyTextRight">
    <w:name w:val="Body Text Right"/>
    <w:basedOn w:val="BodyText"/>
    <w:rsid w:val="00DF2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C57"/>
    <w:rPr>
      <w:sz w:val="32"/>
    </w:rPr>
  </w:style>
  <w:style w:type="paragraph" w:customStyle="1" w:styleId="HeadingProcedure">
    <w:name w:val="Heading Procedure"/>
    <w:basedOn w:val="HeadingBase"/>
    <w:next w:val="Normal"/>
    <w:rsid w:val="00DF2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C57"/>
    <w:pPr>
      <w:spacing w:before="60" w:after="60"/>
    </w:pPr>
  </w:style>
  <w:style w:type="paragraph" w:styleId="ListContinue">
    <w:name w:val="List Continue"/>
    <w:basedOn w:val="List"/>
    <w:rsid w:val="00DF2C57"/>
    <w:pPr>
      <w:ind w:firstLine="0"/>
    </w:pPr>
  </w:style>
  <w:style w:type="paragraph" w:customStyle="1" w:styleId="ListNote">
    <w:name w:val="List Note"/>
    <w:basedOn w:val="List"/>
    <w:rsid w:val="00DF2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C57"/>
    <w:rPr>
      <w:rFonts w:ascii="Courier New" w:hAnsi="Courier New"/>
    </w:rPr>
  </w:style>
  <w:style w:type="paragraph" w:customStyle="1" w:styleId="NoteBullet">
    <w:name w:val="Note Bullet"/>
    <w:basedOn w:val="Note"/>
    <w:rsid w:val="00DF2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2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C57"/>
    <w:rPr>
      <w:b/>
      <w:smallCaps/>
    </w:rPr>
  </w:style>
  <w:style w:type="paragraph" w:customStyle="1" w:styleId="TableListNumber">
    <w:name w:val="Table List Number"/>
    <w:basedOn w:val="ListNumber"/>
    <w:rsid w:val="00DF2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C57"/>
    <w:pPr>
      <w:numPr>
        <w:numId w:val="9"/>
      </w:numPr>
    </w:pPr>
  </w:style>
  <w:style w:type="paragraph" w:customStyle="1" w:styleId="ListAlpha2">
    <w:name w:val="List Alpha 2"/>
    <w:basedOn w:val="List2"/>
    <w:rsid w:val="00DF2C57"/>
    <w:pPr>
      <w:numPr>
        <w:numId w:val="8"/>
      </w:numPr>
    </w:pPr>
  </w:style>
  <w:style w:type="paragraph" w:styleId="List2">
    <w:name w:val="List 2"/>
    <w:basedOn w:val="BodyText"/>
    <w:rsid w:val="00DF2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2C57"/>
    <w:pPr>
      <w:numPr>
        <w:numId w:val="4"/>
      </w:numPr>
    </w:pPr>
  </w:style>
  <w:style w:type="paragraph" w:styleId="ListContinue2">
    <w:name w:val="List Continue 2"/>
    <w:basedOn w:val="List2"/>
    <w:rsid w:val="00DF2C57"/>
    <w:pPr>
      <w:ind w:firstLine="0"/>
    </w:pPr>
  </w:style>
  <w:style w:type="paragraph" w:styleId="ListContinue3">
    <w:name w:val="List Continue 3"/>
    <w:basedOn w:val="List3"/>
    <w:rsid w:val="00DF2C57"/>
    <w:pPr>
      <w:ind w:left="1021" w:firstLine="0"/>
    </w:pPr>
  </w:style>
  <w:style w:type="paragraph" w:styleId="ListContinue4">
    <w:name w:val="List Continue 4"/>
    <w:basedOn w:val="List4"/>
    <w:rsid w:val="00DF2C57"/>
    <w:pPr>
      <w:ind w:firstLine="0"/>
    </w:pPr>
  </w:style>
  <w:style w:type="paragraph" w:styleId="ListContinue5">
    <w:name w:val="List Continue 5"/>
    <w:basedOn w:val="List5"/>
    <w:rsid w:val="00DF2C57"/>
    <w:pPr>
      <w:ind w:firstLine="0"/>
    </w:pPr>
  </w:style>
  <w:style w:type="paragraph" w:styleId="ListNumber3">
    <w:name w:val="List Number 3"/>
    <w:basedOn w:val="List3"/>
    <w:rsid w:val="00DF2C57"/>
    <w:pPr>
      <w:numPr>
        <w:numId w:val="5"/>
      </w:numPr>
    </w:pPr>
  </w:style>
  <w:style w:type="paragraph" w:styleId="ListNumber4">
    <w:name w:val="List Number 4"/>
    <w:basedOn w:val="List4"/>
    <w:rsid w:val="00DF2C57"/>
    <w:pPr>
      <w:numPr>
        <w:numId w:val="6"/>
      </w:numPr>
    </w:pPr>
  </w:style>
  <w:style w:type="paragraph" w:styleId="ListNumber5">
    <w:name w:val="List Number 5"/>
    <w:basedOn w:val="List5"/>
    <w:rsid w:val="00DF2C57"/>
    <w:pPr>
      <w:numPr>
        <w:numId w:val="7"/>
      </w:numPr>
    </w:pPr>
  </w:style>
  <w:style w:type="paragraph" w:styleId="BlockText">
    <w:name w:val="Block Text"/>
    <w:basedOn w:val="Normal"/>
    <w:rsid w:val="00DF2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C57"/>
    <w:rPr>
      <w:sz w:val="16"/>
      <w:vertAlign w:val="superscript"/>
    </w:rPr>
  </w:style>
  <w:style w:type="character" w:customStyle="1" w:styleId="Symbols">
    <w:name w:val="Symbols"/>
    <w:basedOn w:val="DefaultParagraphFont"/>
    <w:rsid w:val="00DF2C57"/>
    <w:rPr>
      <w:rFonts w:ascii="Symbol" w:hAnsi="Symbol"/>
    </w:rPr>
  </w:style>
  <w:style w:type="character" w:customStyle="1" w:styleId="MenuOptions">
    <w:name w:val="Menu Options"/>
    <w:basedOn w:val="DefaultParagraphFont"/>
    <w:rsid w:val="00DF2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C57"/>
    <w:rPr>
      <w:b/>
    </w:rPr>
  </w:style>
  <w:style w:type="character" w:customStyle="1" w:styleId="Underlined">
    <w:name w:val="Underlined"/>
    <w:basedOn w:val="DefaultParagraphFont"/>
    <w:rsid w:val="00DF2C57"/>
    <w:rPr>
      <w:u w:val="single"/>
    </w:rPr>
  </w:style>
  <w:style w:type="paragraph" w:customStyle="1" w:styleId="TableBodyTextRight">
    <w:name w:val="Table Body Text Right"/>
    <w:basedOn w:val="TableBodyText"/>
    <w:rsid w:val="00DF2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C57"/>
    <w:rPr>
      <w:sz w:val="18"/>
    </w:rPr>
  </w:style>
  <w:style w:type="paragraph" w:customStyle="1" w:styleId="BodySmallRight">
    <w:name w:val="Body Small Right"/>
    <w:basedOn w:val="BodyTextRight"/>
    <w:rsid w:val="00DF2C57"/>
    <w:rPr>
      <w:sz w:val="18"/>
      <w:szCs w:val="18"/>
    </w:rPr>
  </w:style>
  <w:style w:type="paragraph" w:customStyle="1" w:styleId="MarginEdition">
    <w:name w:val="Margin Edition"/>
    <w:basedOn w:val="MarginNote"/>
    <w:rsid w:val="00DF2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C57"/>
    <w:rPr>
      <w:sz w:val="2"/>
      <w:szCs w:val="2"/>
    </w:rPr>
  </w:style>
  <w:style w:type="character" w:customStyle="1" w:styleId="Small">
    <w:name w:val="Small"/>
    <w:basedOn w:val="DefaultParagraphFont"/>
    <w:rsid w:val="00DF2C57"/>
    <w:rPr>
      <w:sz w:val="16"/>
    </w:rPr>
  </w:style>
  <w:style w:type="paragraph" w:customStyle="1" w:styleId="WideTable">
    <w:name w:val="Wide Table"/>
    <w:basedOn w:val="Normal"/>
    <w:rsid w:val="00DF2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C57"/>
  </w:style>
  <w:style w:type="paragraph" w:styleId="Quote">
    <w:name w:val="Quote"/>
    <w:basedOn w:val="Heading1"/>
    <w:link w:val="QuoteChar"/>
    <w:qFormat/>
    <w:rsid w:val="00DF2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C57"/>
    <w:pPr>
      <w:pageBreakBefore/>
    </w:pPr>
  </w:style>
  <w:style w:type="paragraph" w:customStyle="1" w:styleId="Border">
    <w:name w:val="Border"/>
    <w:basedOn w:val="Normal"/>
    <w:qFormat/>
    <w:rsid w:val="00DF2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C57"/>
    <w:rPr>
      <w:u w:val="single"/>
    </w:rPr>
  </w:style>
  <w:style w:type="character" w:customStyle="1" w:styleId="BoldandItalics">
    <w:name w:val="Bold and Italics"/>
    <w:qFormat/>
    <w:rsid w:val="00DF2C57"/>
    <w:rPr>
      <w:b/>
      <w:i/>
      <w:u w:val="none"/>
    </w:rPr>
  </w:style>
  <w:style w:type="paragraph" w:styleId="BalloonText">
    <w:name w:val="Balloon Text"/>
    <w:basedOn w:val="Normal"/>
    <w:link w:val="BalloonTextChar"/>
    <w:rsid w:val="00DF2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C57"/>
    <w:pPr>
      <w:spacing w:before="0" w:after="0"/>
    </w:pPr>
  </w:style>
  <w:style w:type="paragraph" w:customStyle="1" w:styleId="BodyTextBold">
    <w:name w:val="Body Text Bold"/>
    <w:basedOn w:val="BodyText"/>
    <w:qFormat/>
    <w:rsid w:val="00DF2C57"/>
    <w:rPr>
      <w:b/>
    </w:rPr>
  </w:style>
  <w:style w:type="character" w:styleId="Hyperlink">
    <w:name w:val="Hyperlink"/>
    <w:basedOn w:val="DefaultParagraphFont"/>
    <w:uiPriority w:val="99"/>
    <w:unhideWhenUsed/>
    <w:rsid w:val="00086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2714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BSBMKG440 Apply marketing communication across a convergent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