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C8B" w:rsidP="007F1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BSBMKG420 Create digital media user experiences</w:t>
      </w:r>
      <w:r>
        <w:fldChar w:fldCharType="end"/>
      </w:r>
    </w:p>
    <w:p w:rsidR="007F1C8B" w:rsidP="007F1C8B">
      <w:pPr>
        <w:pStyle w:val="Version"/>
        <w:sectPr w:rsidSect="005A7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7F2" w:rsidP="005A77F2">
      <w:pPr>
        <w:pStyle w:val="SuperHeading"/>
      </w:pPr>
      <w:r w:rsidRPr="005A77F2">
        <w:t>BSBMKG420 Create digital media user experiences</w:t>
      </w:r>
    </w:p>
    <w:p w:rsidR="00000000" w:rsidRPr="005A77F2" w:rsidP="005A77F2">
      <w:pPr>
        <w:pStyle w:val="Heading1"/>
      </w:pPr>
      <w:bookmarkStart w:id="1" w:name="O_768906"/>
      <w:bookmarkEnd w:id="1"/>
      <w:r w:rsidRPr="005A7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SpecialBold"/>
              </w:rPr>
              <w:t>Comments</w:t>
            </w:r>
          </w:p>
        </w:tc>
      </w:tr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This version first released with BSB Business Services Training Package Version 2.0.</w:t>
            </w:r>
          </w:p>
        </w:tc>
      </w:tr>
    </w:tbl>
    <w:p w:rsidR="00000000" w:rsidRPr="005A77F2" w:rsidP="005A77F2">
      <w:pPr>
        <w:pStyle w:val="BodyText"/>
      </w:pP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2" w:name="O_768907"/>
      <w:bookmarkEnd w:id="2"/>
      <w:r w:rsidRPr="005A77F2">
        <w:t>Application</w:t>
      </w:r>
    </w:p>
    <w:p w:rsidR="00000000" w:rsidRPr="005A77F2" w:rsidP="007F1C8B">
      <w:pPr>
        <w:pStyle w:val="BodyText"/>
      </w:pPr>
      <w:r w:rsidRPr="005A77F2">
        <w:t>This unit describes the skills and knowledge required to create digital user experi</w:t>
      </w:r>
      <w:r w:rsidRPr="005A77F2">
        <w:t>ence for application within the context of marketing communication.</w:t>
      </w:r>
    </w:p>
    <w:p w:rsidR="00000000" w:rsidRPr="005A77F2" w:rsidP="007F1C8B">
      <w:pPr>
        <w:pStyle w:val="BodyText"/>
      </w:pPr>
      <w:r w:rsidRPr="005A77F2">
        <w:t>It applies to individuals working in a variety of marketing communication occupational roles who have responsibility for developing and implementing client solutions within the digital co</w:t>
      </w:r>
      <w:r w:rsidRPr="005A77F2">
        <w:t xml:space="preserve">mmunication space. Individuals may work separately or as part of a multidisciplinary team. </w:t>
      </w:r>
    </w:p>
    <w:p w:rsidR="00000000" w:rsidRPr="005A77F2" w:rsidP="007F1C8B">
      <w:pPr>
        <w:pStyle w:val="BodyText"/>
      </w:pPr>
      <w:r w:rsidRPr="005A77F2">
        <w:t>No licensing, legislative or certification requirements apply to this unit at the time of publication.</w:t>
      </w:r>
    </w:p>
    <w:p w:rsidR="00000000" w:rsidRPr="005A77F2" w:rsidP="005A77F2">
      <w:pPr>
        <w:pStyle w:val="Heading1"/>
      </w:pPr>
      <w:bookmarkStart w:id="3" w:name="O_768910"/>
      <w:bookmarkEnd w:id="3"/>
      <w:r w:rsidRPr="005A77F2">
        <w:t>Unit Sector</w:t>
      </w:r>
    </w:p>
    <w:p w:rsidR="00000000" w:rsidRPr="005A77F2" w:rsidP="007F1C8B">
      <w:pPr>
        <w:pStyle w:val="BodyText"/>
      </w:pPr>
      <w:r w:rsidRPr="005A77F2">
        <w:t>Business Development – Marketin</w:t>
      </w:r>
      <w:r w:rsidRPr="005A77F2">
        <w:t>g</w:t>
      </w:r>
    </w:p>
    <w:p w:rsidR="00000000" w:rsidRPr="005A77F2" w:rsidP="005A77F2">
      <w:pPr>
        <w:pStyle w:val="Heading1"/>
      </w:pPr>
      <w:bookmarkStart w:id="4" w:name="O_768911"/>
      <w:bookmarkEnd w:id="4"/>
      <w:r w:rsidRPr="005A77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SpecialBold"/>
              </w:rPr>
              <w:t>PERFORMANCE CRITERIA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 Specify intent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1.1 Document objectives for digital engagement</w:t>
            </w:r>
          </w:p>
          <w:p w:rsidR="00000000" w:rsidRPr="005A77F2" w:rsidP="005A77F2">
            <w:pPr>
              <w:pStyle w:val="BodyText"/>
            </w:pPr>
            <w:r w:rsidRPr="005A77F2">
              <w:t>1.2 Specify characteristics of product, brand or organisation</w:t>
            </w:r>
          </w:p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1.3 Identify and work within legislation, regulation and policy frameworks relevant to digital user experiences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2. Classify users and conversation types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2.1 Classify users according to engagement patterns, socio-economic, and digital platform characteristics</w:t>
            </w:r>
          </w:p>
          <w:p w:rsidR="00000000" w:rsidRPr="005A77F2" w:rsidP="005A77F2">
            <w:pPr>
              <w:pStyle w:val="BodyText"/>
            </w:pPr>
            <w:r w:rsidRPr="005A77F2">
              <w:t xml:space="preserve">2.2 Identify user and conversation types from data analysis of </w:t>
            </w:r>
            <w:r w:rsidRPr="005A77F2">
              <w:t>similar known user experience journeys</w:t>
            </w:r>
          </w:p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2.3 Dra</w:t>
            </w:r>
            <w:r w:rsidRPr="005A77F2">
              <w:t xml:space="preserve">w schematics to represent typical conversation types based on device, platform, client and user intent 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3. Profile user journeys and interventions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3.1 Identify and document the digital enclaves and engagement patterns of users</w:t>
            </w:r>
          </w:p>
          <w:p w:rsidR="00000000" w:rsidRPr="005A77F2" w:rsidP="005A77F2">
            <w:pPr>
              <w:pStyle w:val="BodyText"/>
            </w:pPr>
            <w:r w:rsidRPr="005A77F2">
              <w:t>3.2 Nominate and classify po</w:t>
            </w:r>
            <w:r w:rsidRPr="005A77F2">
              <w:t>ints of digital contact with client product, brand or organisation</w:t>
            </w:r>
          </w:p>
          <w:p w:rsidR="00000000" w:rsidRPr="005A77F2" w:rsidP="005A77F2">
            <w:pPr>
              <w:pStyle w:val="BodyText"/>
            </w:pPr>
            <w:r w:rsidRPr="005A77F2">
              <w:t xml:space="preserve">3.3 Model an atypical user journey </w:t>
            </w:r>
          </w:p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3.4 Select location, style and triggers for intervention in the user journey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4. Design engagement opportunities and events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4.1 Develop user stories from</w:t>
            </w:r>
            <w:r w:rsidRPr="005A77F2">
              <w:t xml:space="preserve"> multiple perspectives that promote positive engagement</w:t>
            </w:r>
          </w:p>
          <w:p w:rsidR="00000000" w:rsidRPr="005A77F2" w:rsidP="005A77F2">
            <w:pPr>
              <w:pStyle w:val="BodyText"/>
            </w:pPr>
            <w:r w:rsidRPr="005A77F2">
              <w:t>4.2 Design digital and/or analogue events that stimulate user engagement and enhance the experience</w:t>
            </w:r>
          </w:p>
          <w:p w:rsidR="00000000" w:rsidRPr="005A77F2" w:rsidP="005A77F2">
            <w:pPr>
              <w:pStyle w:val="BodyText"/>
            </w:pPr>
            <w:r w:rsidRPr="005A77F2">
              <w:t>4.3 Ensure user interface design meets user, brand, product and organisation style and expectations</w:t>
            </w:r>
          </w:p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 xml:space="preserve">4.4 Establish performance indicators for user experiences and engagement 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5. Converse, monitor and respond to users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5.1 Facilitate real time interaction with users according to design</w:t>
            </w:r>
          </w:p>
          <w:p w:rsidR="00000000" w:rsidRPr="005A77F2" w:rsidP="005A77F2">
            <w:pPr>
              <w:pStyle w:val="BodyText"/>
            </w:pPr>
            <w:r w:rsidRPr="005A77F2">
              <w:t>5.2 Monitor user engagement using relevant digital tools and techniques</w:t>
            </w:r>
          </w:p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5.3 Respond to users within relevant performance indicator parameters</w:t>
            </w:r>
          </w:p>
        </w:tc>
      </w:tr>
      <w:tr w:rsidTr="005A77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6. Review and evaluate user experiences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6.1 Collate digital data on user experience journeys</w:t>
            </w:r>
          </w:p>
          <w:p w:rsidR="00000000" w:rsidRPr="005A77F2" w:rsidP="005A77F2">
            <w:pPr>
              <w:pStyle w:val="BodyText"/>
            </w:pPr>
            <w:r w:rsidRPr="005A77F2">
              <w:t>6.2 Moderate data to identify exceptions from expectations</w:t>
            </w:r>
          </w:p>
          <w:p w:rsidR="00000000" w:rsidRPr="005A77F2" w:rsidP="005A77F2">
            <w:pPr>
              <w:pStyle w:val="BodyText"/>
            </w:pPr>
            <w:r w:rsidRPr="005A77F2">
              <w:t>6.3 Document issues and recommendations to improve further user experiences</w:t>
            </w:r>
          </w:p>
        </w:tc>
      </w:tr>
    </w:tbl>
    <w:p w:rsidR="00000000" w:rsidRPr="005A77F2" w:rsidP="005A77F2">
      <w:pPr>
        <w:pStyle w:val="BodyText"/>
      </w:pP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5" w:name="O_768912"/>
      <w:bookmarkEnd w:id="5"/>
      <w:r w:rsidRPr="005A77F2">
        <w:t>Foundation Skills</w:t>
      </w:r>
    </w:p>
    <w:p w:rsidR="00000000" w:rsidRPr="007F1C8B" w:rsidP="007F1C8B">
      <w:pPr>
        <w:pStyle w:val="BodyText"/>
        <w:rPr>
          <w:i/>
        </w:rPr>
      </w:pPr>
      <w:r w:rsidRPr="007F1C8B">
        <w:rPr>
          <w:rStyle w:val="Emphasis"/>
        </w:rPr>
        <w:t>This section describes language, literacy, numeracy and employment skills incorporated in the performance criteria that are required for compet</w:t>
      </w:r>
      <w:r w:rsidRPr="007F1C8B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Performance</w:t>
            </w:r>
          </w:p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SpecialBold"/>
              </w:rPr>
              <w:t>Description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1.3,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ListBullet"/>
            </w:pPr>
            <w:r w:rsidRPr="005A77F2">
              <w:t>Identifies and analyses complex texts to determine legislative, regulatory and business requirements</w:t>
            </w:r>
          </w:p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 xml:space="preserve">Reviews reported information to categorise user groups, build understanding and improve practices 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1.1, 1.2, 2.3, 3.1-3.3, 4.1, 4.2,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ListBullet"/>
            </w:pPr>
            <w:r w:rsidRPr="005A77F2">
              <w:t>Researches, plans and prepares documentation using format and language appropriate to context, organisational</w:t>
            </w:r>
            <w:r w:rsidRPr="005A77F2">
              <w:t xml:space="preserve"> requirements and audience </w:t>
            </w:r>
          </w:p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>Creates materials to positively engage users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>Participates in discussions using listening and questioning to elicit the views of others and to clarify or confirm understanding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2.2, 2.3, 3.1</w:t>
            </w:r>
            <w:r w:rsidRPr="005A77F2">
              <w:t>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 xml:space="preserve">Evaluates and uses data to create visual representations of the user experience to communicate effectively with a range of audiences 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1.3, 4.3, 5.3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>Develops, monitors and modifies organisational policies and procedures in accordance with legislative requirements and organisation goals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ListBullet"/>
              <w:rPr>
                <w:lang w:val="en-NZ"/>
              </w:rPr>
            </w:pPr>
            <w:r w:rsidRPr="005A77F2">
              <w:t>Selects and uses appropriate conventions and protocols when communicating and interact</w:t>
            </w:r>
            <w:r w:rsidRPr="005A77F2">
              <w:t xml:space="preserve">ing with digital users </w:t>
            </w:r>
          </w:p>
        </w:tc>
      </w:tr>
      <w:tr w:rsidTr="005A77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1.1-1.3, 2.1-2.3, 3.1-3.4, 4.1-4.4, 5.1,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ListBullet"/>
            </w:pPr>
            <w:r w:rsidRPr="005A77F2">
              <w:t xml:space="preserve">Plans, organises and implements own work activities that ensure compliance with organisational policies and procedures, and legislative requirements </w:t>
            </w:r>
          </w:p>
          <w:p w:rsidR="00000000" w:rsidRPr="005A77F2" w:rsidP="005A77F2">
            <w:pPr>
              <w:pStyle w:val="ListBullet"/>
            </w:pPr>
            <w:r w:rsidRPr="005A77F2">
              <w:t>Sequences and schedules complex activities, and monitors implementation</w:t>
            </w:r>
          </w:p>
          <w:p w:rsidR="00000000" w:rsidRPr="005A77F2" w:rsidP="005A77F2">
            <w:pPr>
              <w:pStyle w:val="ListBullet"/>
            </w:pPr>
            <w:r w:rsidRPr="005A77F2">
              <w:t>Applies understanding of users to create an experience that fulfils expectations, as well as organisational goals</w:t>
            </w:r>
          </w:p>
          <w:p w:rsidR="00000000" w:rsidRPr="005A77F2" w:rsidP="005A77F2">
            <w:pPr>
              <w:pStyle w:val="ListBullet"/>
            </w:pPr>
            <w:r w:rsidRPr="005A77F2">
              <w:t>Monitors and evaluates outcomes using digital tools to identify opport</w:t>
            </w:r>
            <w:r w:rsidRPr="005A77F2">
              <w:t>unities for improvement</w:t>
            </w:r>
          </w:p>
        </w:tc>
      </w:tr>
    </w:tbl>
    <w:p w:rsidR="00000000" w:rsidRPr="005A77F2" w:rsidP="005A77F2">
      <w:pPr>
        <w:pStyle w:val="BodyText"/>
      </w:pP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6" w:name="O_768914"/>
      <w:bookmarkEnd w:id="6"/>
      <w:r w:rsidRPr="005A77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 xml:space="preserve">ode and title </w:t>
            </w:r>
          </w:p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Code and title</w:t>
            </w:r>
          </w:p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SpecialBold"/>
              </w:rPr>
              <w:t>Equivalence status</w:t>
            </w:r>
          </w:p>
        </w:tc>
      </w:tr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BSBMKG420 Create digital media user experiences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New unit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No equivalent unit</w:t>
            </w:r>
          </w:p>
        </w:tc>
      </w:tr>
    </w:tbl>
    <w:p w:rsidR="00000000" w:rsidRPr="005A77F2" w:rsidP="005A77F2">
      <w:pPr>
        <w:pStyle w:val="BodyText"/>
      </w:pP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7" w:name="O_768921"/>
      <w:bookmarkEnd w:id="7"/>
      <w:r w:rsidRPr="005A77F2">
        <w:t>Links</w:t>
      </w:r>
    </w:p>
    <w:p w:rsidR="00000000" w:rsidRPr="005A77F2" w:rsidP="007F1C8B">
      <w:pPr>
        <w:pStyle w:val="BodyText"/>
      </w:pPr>
      <w:r w:rsidRPr="005A77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68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77F2" w:rsidP="007F1C8B">
      <w:pPr>
        <w:pStyle w:val="BodyText"/>
        <w:sectPr w:rsidSect="005A77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7F2" w:rsidP="005A77F2">
      <w:pPr>
        <w:pStyle w:val="SuperHeading"/>
      </w:pPr>
      <w:r w:rsidRPr="005A77F2">
        <w:t xml:space="preserve">Assessment </w:t>
      </w:r>
      <w:r w:rsidRPr="005A77F2">
        <w:t>Requirements for BSBMKG420 Create digital media user experiences</w:t>
      </w:r>
    </w:p>
    <w:p w:rsidR="00000000" w:rsidRPr="005A77F2" w:rsidP="005A77F2">
      <w:pPr>
        <w:pStyle w:val="Heading1"/>
      </w:pPr>
      <w:bookmarkStart w:id="8" w:name="O_768916"/>
      <w:bookmarkEnd w:id="8"/>
      <w:r w:rsidRPr="005A7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rPr>
                <w:rStyle w:val="SpecialBold"/>
              </w:rPr>
              <w:t>Comments</w:t>
            </w:r>
          </w:p>
        </w:tc>
      </w:tr>
      <w:tr w:rsidTr="005A7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7F2">
            <w:pPr>
              <w:pStyle w:val="BodyText"/>
              <w:rPr>
                <w:lang w:val="en-NZ"/>
              </w:rPr>
            </w:pPr>
            <w:r w:rsidRPr="005A77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7F2" w:rsidP="005A77F2">
            <w:pPr>
              <w:pStyle w:val="BodyText"/>
            </w:pPr>
            <w:r w:rsidRPr="005A77F2">
              <w:t>This version first released with BSB Business Services Training Package Version 2.0.</w:t>
            </w:r>
          </w:p>
        </w:tc>
      </w:tr>
    </w:tbl>
    <w:p w:rsidR="00000000" w:rsidRPr="005A77F2" w:rsidP="005A77F2">
      <w:pPr>
        <w:pStyle w:val="BodyText"/>
      </w:pP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9" w:name="O_768917"/>
      <w:bookmarkEnd w:id="9"/>
      <w:r w:rsidRPr="005A77F2">
        <w:t>Performance Evidence</w:t>
      </w:r>
    </w:p>
    <w:p w:rsidR="00000000" w:rsidRPr="005A77F2" w:rsidP="007F1C8B">
      <w:pPr>
        <w:pStyle w:val="BodyText"/>
      </w:pPr>
      <w:r w:rsidRPr="005A77F2">
        <w:t>E</w:t>
      </w:r>
      <w:r w:rsidRPr="005A77F2">
        <w:t>vidence of the ability to:</w:t>
      </w:r>
    </w:p>
    <w:p w:rsidR="00000000" w:rsidRPr="005A77F2" w:rsidP="005A77F2">
      <w:pPr>
        <w:pStyle w:val="ListBullet"/>
      </w:pPr>
      <w:r w:rsidRPr="005A77F2">
        <w:t>document objectives and characteristics for digital engagement</w:t>
      </w:r>
    </w:p>
    <w:p w:rsidR="00000000" w:rsidRPr="005A77F2" w:rsidP="005A77F2">
      <w:pPr>
        <w:pStyle w:val="ListBullet"/>
      </w:pPr>
      <w:r w:rsidRPr="005A77F2">
        <w:t>identify and classify digital users and engagement patterns</w:t>
      </w:r>
    </w:p>
    <w:p w:rsidR="00000000" w:rsidRPr="005A77F2" w:rsidP="005A77F2">
      <w:pPr>
        <w:pStyle w:val="ListBullet"/>
      </w:pPr>
      <w:r w:rsidRPr="005A77F2">
        <w:t>create schematic(s) of user journeys</w:t>
      </w:r>
    </w:p>
    <w:p w:rsidR="00000000" w:rsidRPr="005A77F2" w:rsidP="005A77F2">
      <w:pPr>
        <w:pStyle w:val="ListBullet"/>
      </w:pPr>
      <w:r w:rsidRPr="005A77F2">
        <w:t>select mode, type and form of digital interventions in user experience</w:t>
      </w:r>
    </w:p>
    <w:p w:rsidR="00000000" w:rsidRPr="005A77F2" w:rsidP="005A77F2">
      <w:pPr>
        <w:pStyle w:val="ListBullet"/>
      </w:pPr>
      <w:r w:rsidRPr="005A77F2">
        <w:t>write digital user stories</w:t>
      </w:r>
    </w:p>
    <w:p w:rsidR="00000000" w:rsidRPr="005A77F2" w:rsidP="005A77F2">
      <w:pPr>
        <w:pStyle w:val="ListBullet"/>
      </w:pPr>
      <w:r w:rsidRPr="005A77F2">
        <w:t>interpret legislation, regulation and policy as applied to creating user experiences</w:t>
      </w:r>
    </w:p>
    <w:p w:rsidR="00000000" w:rsidRPr="005A77F2" w:rsidP="005A77F2">
      <w:pPr>
        <w:pStyle w:val="ListBullet"/>
      </w:pPr>
      <w:r w:rsidRPr="005A77F2">
        <w:t>interact with digital users ‘on-brand’ in real time</w:t>
      </w:r>
    </w:p>
    <w:p w:rsidR="00000000" w:rsidRPr="005A77F2" w:rsidP="005A77F2">
      <w:pPr>
        <w:pStyle w:val="ListBullet"/>
      </w:pPr>
      <w:r w:rsidRPr="005A77F2">
        <w:t>evaluate digital data</w:t>
      </w:r>
      <w:r w:rsidRPr="005A77F2">
        <w:t xml:space="preserve"> to identify performance exceptions.</w:t>
      </w:r>
    </w:p>
    <w:p w:rsidR="00000000" w:rsidRPr="005A77F2" w:rsidP="005A77F2">
      <w:pPr>
        <w:pStyle w:val="BodyText"/>
      </w:pPr>
    </w:p>
    <w:p w:rsidR="00000000" w:rsidRPr="005A77F2" w:rsidP="007F1C8B">
      <w:pPr>
        <w:pStyle w:val="BodyText"/>
      </w:pPr>
      <w:r w:rsidRPr="005A77F2">
        <w:t>Note: If a specific volume or frequency is not stated, then evidence must be provided at least once.</w:t>
      </w:r>
    </w:p>
    <w:p w:rsidR="00000000" w:rsidRPr="005A77F2" w:rsidP="005A77F2">
      <w:pPr>
        <w:pStyle w:val="Heading1"/>
      </w:pPr>
      <w:bookmarkStart w:id="10" w:name="O_768918"/>
      <w:bookmarkEnd w:id="10"/>
      <w:r w:rsidRPr="005A77F2">
        <w:t>Knowledge Evidence</w:t>
      </w:r>
    </w:p>
    <w:p w:rsidR="00000000" w:rsidRPr="005A77F2" w:rsidP="007F1C8B">
      <w:pPr>
        <w:pStyle w:val="BodyText"/>
      </w:pPr>
      <w:r w:rsidRPr="005A77F2">
        <w:t>To complete the unit requirements safely and effectively, the individual must:</w:t>
      </w:r>
    </w:p>
    <w:p w:rsidR="00000000" w:rsidRPr="005A77F2" w:rsidP="005A77F2">
      <w:pPr>
        <w:pStyle w:val="ListBullet"/>
      </w:pPr>
      <w:r w:rsidRPr="005A77F2">
        <w:t>l</w:t>
      </w:r>
      <w:r w:rsidRPr="005A77F2">
        <w:t>ist the types of digital experience based on current technology</w:t>
      </w:r>
    </w:p>
    <w:p w:rsidR="00000000" w:rsidRPr="005A77F2" w:rsidP="005A77F2">
      <w:pPr>
        <w:pStyle w:val="ListBullet"/>
      </w:pPr>
      <w:r w:rsidRPr="005A77F2">
        <w:t>explain how legislation and policy impacts on user experience design</w:t>
      </w:r>
    </w:p>
    <w:p w:rsidR="00000000" w:rsidRPr="005A77F2" w:rsidP="005A77F2">
      <w:pPr>
        <w:pStyle w:val="ListBullet"/>
      </w:pPr>
      <w:r w:rsidRPr="005A77F2">
        <w:t>compare user types, their digital journeys, and common characteristics</w:t>
      </w:r>
    </w:p>
    <w:p w:rsidR="00000000" w:rsidRPr="005A77F2" w:rsidP="005A77F2">
      <w:pPr>
        <w:pStyle w:val="ListBullet"/>
      </w:pPr>
      <w:r w:rsidRPr="005A77F2">
        <w:t>list common events and methods used for intervention</w:t>
      </w:r>
      <w:r w:rsidRPr="005A77F2">
        <w:t xml:space="preserve"> in digital journeys</w:t>
      </w:r>
    </w:p>
    <w:p w:rsidR="00000000" w:rsidRPr="005A77F2" w:rsidP="005A77F2">
      <w:pPr>
        <w:pStyle w:val="ListBullet"/>
      </w:pPr>
      <w:r w:rsidRPr="005A77F2">
        <w:t>demonstrate usage of common industry analytics tools applied to user experience data.</w:t>
      </w:r>
    </w:p>
    <w:p w:rsidR="00000000" w:rsidRPr="005A77F2" w:rsidP="005A77F2">
      <w:pPr>
        <w:pStyle w:val="AllowPageBreak"/>
      </w:pPr>
    </w:p>
    <w:p w:rsidR="00000000" w:rsidRPr="005A77F2" w:rsidP="005A77F2">
      <w:pPr>
        <w:pStyle w:val="Heading1"/>
      </w:pPr>
      <w:bookmarkStart w:id="11" w:name="O_768919"/>
      <w:bookmarkEnd w:id="11"/>
      <w:r w:rsidRPr="005A77F2">
        <w:t>Assessment Conditions</w:t>
      </w:r>
    </w:p>
    <w:p w:rsidR="00000000" w:rsidRPr="005A77F2" w:rsidP="007F1C8B">
      <w:pPr>
        <w:pStyle w:val="BodyText"/>
      </w:pPr>
      <w:r w:rsidRPr="005A77F2">
        <w:t>Assessment must be conducted in a safe environment where evidence gathered demonstrates consistent performance</w:t>
      </w:r>
      <w:r w:rsidRPr="005A77F2">
        <w:t xml:space="preserve"> of typical activities experienced in the marketing communications field of work and include access to:</w:t>
      </w:r>
    </w:p>
    <w:p w:rsidR="00000000" w:rsidRPr="005A77F2" w:rsidP="005A77F2">
      <w:pPr>
        <w:pStyle w:val="ListBullet"/>
      </w:pPr>
      <w:r w:rsidRPr="005A77F2">
        <w:t>relevant legislation and regulations</w:t>
      </w:r>
    </w:p>
    <w:p w:rsidR="00000000" w:rsidRPr="005A77F2" w:rsidP="005A77F2">
      <w:pPr>
        <w:pStyle w:val="ListBullet"/>
      </w:pPr>
      <w:r w:rsidRPr="005A77F2">
        <w:t>communications equipment and technology</w:t>
      </w:r>
    </w:p>
    <w:p w:rsidR="00000000" w:rsidRPr="005A77F2" w:rsidP="005A77F2">
      <w:pPr>
        <w:pStyle w:val="ListBullet"/>
      </w:pPr>
      <w:r w:rsidRPr="005A77F2">
        <w:t>relevant workplace documentation and resources</w:t>
      </w:r>
    </w:p>
    <w:p w:rsidR="00000000" w:rsidRPr="005A77F2" w:rsidP="005A77F2">
      <w:pPr>
        <w:pStyle w:val="ListBullet"/>
      </w:pPr>
      <w:r w:rsidRPr="005A77F2">
        <w:t xml:space="preserve">case studies, or where possible, real situations </w:t>
      </w:r>
    </w:p>
    <w:p w:rsidR="00000000" w:rsidRPr="005A77F2" w:rsidP="005A77F2">
      <w:pPr>
        <w:pStyle w:val="ListBullet"/>
      </w:pPr>
      <w:r w:rsidRPr="005A77F2">
        <w:t>industry software packages and apps (where applicable).</w:t>
      </w:r>
    </w:p>
    <w:p w:rsidR="00000000" w:rsidRPr="005A77F2" w:rsidP="005A77F2">
      <w:pPr>
        <w:pStyle w:val="BodyText"/>
      </w:pPr>
    </w:p>
    <w:p w:rsidR="00000000" w:rsidRPr="005A77F2" w:rsidP="007F1C8B">
      <w:pPr>
        <w:pStyle w:val="BodyText"/>
      </w:pPr>
      <w:r w:rsidRPr="005A77F2">
        <w:t>Assessors of this unit must satisfy the requirements for assessors in applicable vocational education and training legislation, frameworks and/or sta</w:t>
      </w:r>
      <w:r w:rsidRPr="005A77F2">
        <w:t>ndards.</w:t>
      </w:r>
    </w:p>
    <w:p w:rsidR="00000000" w:rsidRPr="005A77F2" w:rsidP="005A77F2">
      <w:pPr>
        <w:pStyle w:val="Heading1"/>
      </w:pPr>
      <w:bookmarkStart w:id="12" w:name="O_768922"/>
      <w:bookmarkEnd w:id="12"/>
      <w:r w:rsidRPr="005A77F2">
        <w:t>Links</w:t>
      </w:r>
    </w:p>
    <w:p w:rsidR="00000000" w:rsidRPr="005A77F2" w:rsidP="007F1C8B">
      <w:pPr>
        <w:pStyle w:val="BodyText"/>
      </w:pPr>
      <w:r w:rsidRPr="005A77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68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77F2" w:rsidP="005A77F2"/>
    <w:sectPr w:rsidSect="005A77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 w:rsidRPr="007F1C8B" w:rsidP="007F1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8B" w:rsidP="005A7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1C8B" w:rsidP="005A7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1C8B" w:rsidP="005A77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 w:rsidP="005A7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C8B">
      <w:t>Approved</w:t>
    </w:r>
    <w:r w:rsidR="007F1C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C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C8B">
      <w:rPr>
        <w:noProof/>
      </w:rPr>
      <w:t>5</w:t>
    </w:r>
    <w:r>
      <w:rPr>
        <w:noProof/>
      </w:rPr>
      <w:fldChar w:fldCharType="end"/>
    </w:r>
  </w:p>
  <w:p w:rsidR="005A77F2" w:rsidP="005A7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C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C8B">
      <w:t>Future Skills Organisation</w:t>
    </w:r>
    <w:r w:rsidR="007F1C8B">
      <w:fldChar w:fldCharType="end"/>
    </w:r>
  </w:p>
  <w:p w:rsidR="005A77F2" w:rsidP="005A7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7F2" w:rsidRPr="007F1C8B" w:rsidP="007F1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8B" w:rsidRPr="002D2AF8" w:rsidP="005A7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BSBMKG420 Create digital media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C8B" w:rsidP="005A77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F2" w:rsidRPr="002D2AF8" w:rsidP="005A7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C8B">
      <w:t>BSBMKG420 Create digital media user experiences</w:t>
    </w:r>
    <w:r w:rsidR="007F1C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C8B">
      <w:rPr>
        <w:noProof/>
      </w:rPr>
      <w:t>2 March 2025</w:t>
    </w:r>
    <w:r>
      <w:fldChar w:fldCharType="end"/>
    </w:r>
  </w:p>
  <w:p w:rsidR="005A77F2" w:rsidP="005A7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07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2A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7F2"/>
  </w:style>
  <w:style w:type="character" w:customStyle="1" w:styleId="Heading1Char">
    <w:name w:val="Heading 1 Char"/>
    <w:basedOn w:val="DefaultParagraphFont"/>
    <w:link w:val="Heading1"/>
    <w:rsid w:val="005A7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7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7F2"/>
    <w:rPr>
      <w:b/>
      <w:spacing w:val="0"/>
    </w:rPr>
  </w:style>
  <w:style w:type="character" w:styleId="Emphasis">
    <w:name w:val="Emphasis"/>
    <w:basedOn w:val="DefaultParagraphFont"/>
    <w:qFormat/>
    <w:rsid w:val="005A77F2"/>
    <w:rPr>
      <w:i/>
    </w:rPr>
  </w:style>
  <w:style w:type="paragraph" w:customStyle="1" w:styleId="SuperHeading">
    <w:name w:val="SuperHeading"/>
    <w:basedOn w:val="Normal"/>
    <w:rsid w:val="005A7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7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7F2"/>
  </w:style>
  <w:style w:type="paragraph" w:styleId="TableofFigures">
    <w:name w:val="table of figures"/>
    <w:basedOn w:val="Normal"/>
    <w:next w:val="Normal"/>
    <w:semiHidden/>
    <w:rsid w:val="005A7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7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7F2"/>
    <w:rPr>
      <w:rFonts w:ascii="Wingdings" w:hAnsi="Wingdings"/>
    </w:rPr>
  </w:style>
  <w:style w:type="paragraph" w:customStyle="1" w:styleId="TableHeading">
    <w:name w:val="Table Heading"/>
    <w:basedOn w:val="HeadingBase"/>
    <w:rsid w:val="005A7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7F2"/>
    <w:rPr>
      <w:color w:val="0033CC"/>
      <w:u w:val="none"/>
    </w:rPr>
  </w:style>
  <w:style w:type="paragraph" w:customStyle="1" w:styleId="BodyTextRight">
    <w:name w:val="Body Text Right"/>
    <w:basedOn w:val="BodyText"/>
    <w:rsid w:val="005A7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7F2"/>
    <w:rPr>
      <w:sz w:val="32"/>
    </w:rPr>
  </w:style>
  <w:style w:type="paragraph" w:customStyle="1" w:styleId="HeadingProcedure">
    <w:name w:val="Heading Procedure"/>
    <w:basedOn w:val="HeadingBase"/>
    <w:next w:val="Normal"/>
    <w:rsid w:val="005A7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7F2"/>
    <w:pPr>
      <w:spacing w:before="60" w:after="60"/>
    </w:pPr>
  </w:style>
  <w:style w:type="paragraph" w:styleId="ListContinue">
    <w:name w:val="List Continue"/>
    <w:basedOn w:val="List"/>
    <w:rsid w:val="005A77F2"/>
    <w:pPr>
      <w:ind w:firstLine="0"/>
    </w:pPr>
  </w:style>
  <w:style w:type="paragraph" w:customStyle="1" w:styleId="ListNote">
    <w:name w:val="List Note"/>
    <w:basedOn w:val="List"/>
    <w:rsid w:val="005A7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7F2"/>
    <w:rPr>
      <w:rFonts w:ascii="Courier New" w:hAnsi="Courier New"/>
    </w:rPr>
  </w:style>
  <w:style w:type="paragraph" w:customStyle="1" w:styleId="NoteBullet">
    <w:name w:val="Note Bullet"/>
    <w:basedOn w:val="Note"/>
    <w:rsid w:val="005A7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7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7F2"/>
    <w:rPr>
      <w:b/>
      <w:smallCaps/>
    </w:rPr>
  </w:style>
  <w:style w:type="paragraph" w:customStyle="1" w:styleId="TableListNumber">
    <w:name w:val="Table List Number"/>
    <w:basedOn w:val="ListNumber"/>
    <w:rsid w:val="005A7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7F2"/>
    <w:pPr>
      <w:numPr>
        <w:numId w:val="8"/>
      </w:numPr>
    </w:pPr>
  </w:style>
  <w:style w:type="paragraph" w:customStyle="1" w:styleId="ListAlpha2">
    <w:name w:val="List Alpha 2"/>
    <w:basedOn w:val="List2"/>
    <w:rsid w:val="005A77F2"/>
    <w:pPr>
      <w:numPr>
        <w:numId w:val="7"/>
      </w:numPr>
    </w:pPr>
  </w:style>
  <w:style w:type="paragraph" w:styleId="List2">
    <w:name w:val="List 2"/>
    <w:basedOn w:val="BodyText"/>
    <w:rsid w:val="005A7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7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7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7F2"/>
    <w:pPr>
      <w:numPr>
        <w:numId w:val="3"/>
      </w:numPr>
    </w:pPr>
  </w:style>
  <w:style w:type="paragraph" w:styleId="ListContinue2">
    <w:name w:val="List Continue 2"/>
    <w:basedOn w:val="List2"/>
    <w:rsid w:val="005A77F2"/>
    <w:pPr>
      <w:ind w:firstLine="0"/>
    </w:pPr>
  </w:style>
  <w:style w:type="paragraph" w:styleId="ListContinue3">
    <w:name w:val="List Continue 3"/>
    <w:basedOn w:val="List3"/>
    <w:rsid w:val="005A77F2"/>
    <w:pPr>
      <w:ind w:left="1021" w:firstLine="0"/>
    </w:pPr>
  </w:style>
  <w:style w:type="paragraph" w:styleId="ListContinue4">
    <w:name w:val="List Continue 4"/>
    <w:basedOn w:val="List4"/>
    <w:rsid w:val="005A77F2"/>
    <w:pPr>
      <w:ind w:firstLine="0"/>
    </w:pPr>
  </w:style>
  <w:style w:type="paragraph" w:styleId="ListContinue5">
    <w:name w:val="List Continue 5"/>
    <w:basedOn w:val="List5"/>
    <w:rsid w:val="005A77F2"/>
    <w:pPr>
      <w:ind w:firstLine="0"/>
    </w:pPr>
  </w:style>
  <w:style w:type="paragraph" w:styleId="ListNumber3">
    <w:name w:val="List Number 3"/>
    <w:basedOn w:val="List3"/>
    <w:rsid w:val="005A77F2"/>
    <w:pPr>
      <w:numPr>
        <w:numId w:val="4"/>
      </w:numPr>
    </w:pPr>
  </w:style>
  <w:style w:type="paragraph" w:styleId="ListNumber4">
    <w:name w:val="List Number 4"/>
    <w:basedOn w:val="List4"/>
    <w:rsid w:val="005A77F2"/>
    <w:pPr>
      <w:numPr>
        <w:numId w:val="5"/>
      </w:numPr>
    </w:pPr>
  </w:style>
  <w:style w:type="paragraph" w:styleId="ListNumber5">
    <w:name w:val="List Number 5"/>
    <w:basedOn w:val="List5"/>
    <w:rsid w:val="005A77F2"/>
    <w:pPr>
      <w:numPr>
        <w:numId w:val="6"/>
      </w:numPr>
    </w:pPr>
  </w:style>
  <w:style w:type="paragraph" w:styleId="BlockText">
    <w:name w:val="Block Text"/>
    <w:basedOn w:val="Normal"/>
    <w:rsid w:val="005A7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7F2"/>
    <w:rPr>
      <w:sz w:val="16"/>
      <w:vertAlign w:val="superscript"/>
    </w:rPr>
  </w:style>
  <w:style w:type="character" w:customStyle="1" w:styleId="Symbols">
    <w:name w:val="Symbols"/>
    <w:basedOn w:val="DefaultParagraphFont"/>
    <w:rsid w:val="005A77F2"/>
    <w:rPr>
      <w:rFonts w:ascii="Symbol" w:hAnsi="Symbol"/>
    </w:rPr>
  </w:style>
  <w:style w:type="character" w:customStyle="1" w:styleId="MenuOptions">
    <w:name w:val="Menu Options"/>
    <w:basedOn w:val="DefaultParagraphFont"/>
    <w:rsid w:val="005A7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7F2"/>
    <w:rPr>
      <w:b/>
    </w:rPr>
  </w:style>
  <w:style w:type="character" w:customStyle="1" w:styleId="Underlined">
    <w:name w:val="Underlined"/>
    <w:basedOn w:val="DefaultParagraphFont"/>
    <w:rsid w:val="005A77F2"/>
    <w:rPr>
      <w:u w:val="single"/>
    </w:rPr>
  </w:style>
  <w:style w:type="paragraph" w:customStyle="1" w:styleId="TableBodyTextRight">
    <w:name w:val="Table Body Text Right"/>
    <w:basedOn w:val="TableBodyText"/>
    <w:rsid w:val="005A7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7F2"/>
    <w:rPr>
      <w:sz w:val="18"/>
    </w:rPr>
  </w:style>
  <w:style w:type="paragraph" w:customStyle="1" w:styleId="BodySmallRight">
    <w:name w:val="Body Small Right"/>
    <w:basedOn w:val="BodyTextRight"/>
    <w:rsid w:val="005A77F2"/>
    <w:rPr>
      <w:sz w:val="18"/>
      <w:szCs w:val="18"/>
    </w:rPr>
  </w:style>
  <w:style w:type="paragraph" w:customStyle="1" w:styleId="MarginEdition">
    <w:name w:val="Margin Edition"/>
    <w:basedOn w:val="MarginNote"/>
    <w:rsid w:val="005A7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7F2"/>
    <w:rPr>
      <w:sz w:val="2"/>
      <w:szCs w:val="2"/>
    </w:rPr>
  </w:style>
  <w:style w:type="character" w:customStyle="1" w:styleId="Small">
    <w:name w:val="Small"/>
    <w:basedOn w:val="DefaultParagraphFont"/>
    <w:rsid w:val="005A77F2"/>
    <w:rPr>
      <w:sz w:val="16"/>
    </w:rPr>
  </w:style>
  <w:style w:type="paragraph" w:customStyle="1" w:styleId="WideTable">
    <w:name w:val="Wide Table"/>
    <w:basedOn w:val="Normal"/>
    <w:rsid w:val="005A7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7F2"/>
  </w:style>
  <w:style w:type="paragraph" w:styleId="Quote">
    <w:name w:val="Quote"/>
    <w:basedOn w:val="Heading1"/>
    <w:link w:val="QuoteChar"/>
    <w:qFormat/>
    <w:rsid w:val="005A7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7F2"/>
    <w:pPr>
      <w:pageBreakBefore/>
    </w:pPr>
  </w:style>
  <w:style w:type="paragraph" w:customStyle="1" w:styleId="Border">
    <w:name w:val="Border"/>
    <w:basedOn w:val="Normal"/>
    <w:qFormat/>
    <w:rsid w:val="005A7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7F2"/>
    <w:rPr>
      <w:u w:val="single"/>
    </w:rPr>
  </w:style>
  <w:style w:type="character" w:customStyle="1" w:styleId="BoldandItalics">
    <w:name w:val="Bold and Italics"/>
    <w:qFormat/>
    <w:rsid w:val="005A77F2"/>
    <w:rPr>
      <w:b/>
      <w:i/>
      <w:u w:val="none"/>
    </w:rPr>
  </w:style>
  <w:style w:type="paragraph" w:styleId="BalloonText">
    <w:name w:val="Balloon Text"/>
    <w:basedOn w:val="Normal"/>
    <w:link w:val="BalloonTextChar"/>
    <w:rsid w:val="005A7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7F2"/>
    <w:pPr>
      <w:spacing w:before="0" w:after="0"/>
    </w:pPr>
  </w:style>
  <w:style w:type="paragraph" w:customStyle="1" w:styleId="BodyTextBold">
    <w:name w:val="Body Text Bold"/>
    <w:basedOn w:val="BodyText"/>
    <w:qFormat/>
    <w:rsid w:val="005A77F2"/>
    <w:rPr>
      <w:b/>
    </w:rPr>
  </w:style>
  <w:style w:type="character" w:styleId="Hyperlink">
    <w:name w:val="Hyperlink"/>
    <w:basedOn w:val="DefaultParagraphFont"/>
    <w:uiPriority w:val="99"/>
    <w:unhideWhenUsed/>
    <w:rsid w:val="007F1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6403</Characters>
  <Application>Microsoft Office Word</Application>
  <DocSecurity>0</DocSecurity>
  <Lines>220</Lines>
  <Paragraphs>147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BSBMKG420 Create digital media user experiences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