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4F1" w:rsidP="00271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BSBLEG533 Support alternative dispute resolution processes</w:t>
      </w:r>
      <w:r>
        <w:fldChar w:fldCharType="end"/>
      </w:r>
    </w:p>
    <w:p w:rsidR="002714F1" w:rsidP="002714F1">
      <w:pPr>
        <w:pStyle w:val="Version"/>
        <w:sectPr w:rsidSect="00EF2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F16" w:rsidP="00EF2F16">
      <w:pPr>
        <w:pStyle w:val="SuperHeading"/>
      </w:pPr>
      <w:r w:rsidRPr="00EF2F16">
        <w:t>BSBLEG533 Support alternative dispute resolution processes</w:t>
      </w:r>
    </w:p>
    <w:p w:rsidR="00000000" w:rsidRPr="00EF2F16" w:rsidP="00EF2F16">
      <w:pPr>
        <w:pStyle w:val="Heading1"/>
      </w:pPr>
      <w:bookmarkStart w:id="1" w:name="O_1124388"/>
      <w:bookmarkEnd w:id="1"/>
      <w:r w:rsidRPr="00EF2F1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F2F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rPr>
                <w:rStyle w:val="SpecialBold"/>
              </w:rPr>
              <w:t>Release</w:t>
            </w:r>
            <w:r w:rsidRPr="00EF2F1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rPr>
                <w:rStyle w:val="SpecialBold"/>
              </w:rPr>
              <w:t>Comments</w:t>
            </w:r>
            <w:r w:rsidRPr="00EF2F16">
              <w:t> </w:t>
            </w:r>
          </w:p>
        </w:tc>
      </w:tr>
      <w:tr w:rsidTr="00EF2F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t>This version first released with BSB Business Services Training Package Version 7.0.</w:t>
            </w:r>
          </w:p>
        </w:tc>
      </w:tr>
    </w:tbl>
    <w:p w:rsidR="00000000" w:rsidRPr="00EF2F16" w:rsidP="00EF2F16">
      <w:pPr>
        <w:pStyle w:val="BodyText"/>
      </w:pPr>
    </w:p>
    <w:p w:rsidR="00000000" w:rsidRPr="00EF2F16" w:rsidP="00EF2F16">
      <w:pPr>
        <w:pStyle w:val="AllowPageBreak"/>
      </w:pPr>
    </w:p>
    <w:p w:rsidR="00000000" w:rsidRPr="00EF2F16" w:rsidP="00EF2F16">
      <w:pPr>
        <w:pStyle w:val="Heading1"/>
      </w:pPr>
      <w:bookmarkStart w:id="2" w:name="O_1124393"/>
      <w:bookmarkEnd w:id="2"/>
      <w:r w:rsidRPr="00EF2F16">
        <w:t>Application</w:t>
      </w:r>
    </w:p>
    <w:p w:rsidR="00000000" w:rsidRPr="00EF2F16" w:rsidP="002714F1">
      <w:pPr>
        <w:pStyle w:val="BodyText"/>
      </w:pPr>
      <w:r w:rsidRPr="00EF2F16">
        <w:t>This unit describes the skills and knowledge required to support alte</w:t>
      </w:r>
      <w:r w:rsidRPr="00EF2F16">
        <w:t xml:space="preserve">rnative dispute resolution processes. </w:t>
      </w:r>
    </w:p>
    <w:p w:rsidR="00000000" w:rsidRPr="00EF2F16" w:rsidP="002714F1">
      <w:pPr>
        <w:pStyle w:val="BodyText"/>
      </w:pPr>
      <w:r w:rsidRPr="00EF2F16">
        <w:t>The unit applies to those who apply well established theoretical knowledge in the provision of support for the resolution of disputes.</w:t>
      </w:r>
    </w:p>
    <w:p w:rsidR="00000000" w:rsidRPr="00EF2F16" w:rsidP="002714F1">
      <w:pPr>
        <w:pStyle w:val="BodyText"/>
      </w:pPr>
      <w:r w:rsidRPr="00EF2F16">
        <w:t xml:space="preserve">No licensing, legislative or certification requirements apply to this unit at the </w:t>
      </w:r>
      <w:r w:rsidRPr="00EF2F16">
        <w:t>time of publication.</w:t>
      </w:r>
    </w:p>
    <w:p w:rsidR="00000000" w:rsidRPr="00EF2F16" w:rsidP="00EF2F16">
      <w:pPr>
        <w:pStyle w:val="Heading1"/>
      </w:pPr>
      <w:bookmarkStart w:id="3" w:name="O_1124392"/>
      <w:bookmarkEnd w:id="3"/>
      <w:r w:rsidRPr="00EF2F16">
        <w:t>Unit Sector</w:t>
      </w:r>
    </w:p>
    <w:p w:rsidR="00000000" w:rsidRPr="00EF2F16" w:rsidP="002714F1">
      <w:pPr>
        <w:pStyle w:val="BodyText"/>
      </w:pPr>
      <w:r w:rsidRPr="00EF2F16">
        <w:t>Technical Skills – Legal Services</w:t>
      </w:r>
    </w:p>
    <w:p w:rsidR="00000000" w:rsidRPr="00EF2F16" w:rsidP="00EF2F16">
      <w:pPr>
        <w:pStyle w:val="Heading1"/>
      </w:pPr>
      <w:bookmarkStart w:id="4" w:name="O_1124391"/>
      <w:bookmarkEnd w:id="4"/>
      <w:r w:rsidRPr="00EF2F16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rPr>
                <w:rStyle w:val="SpecialBold"/>
              </w:rPr>
              <w:t>PERFORMANCE CRITERIA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rPr>
                <w:rStyle w:val="Emphasis"/>
              </w:rPr>
              <w:t xml:space="preserve">Elements describe the </w:t>
            </w:r>
            <w:r w:rsidRPr="00EF2F16">
              <w:t xml:space="preserve">essential </w:t>
            </w:r>
            <w:r w:rsidRPr="00EF2F16">
              <w:rPr>
                <w:rStyle w:val="Emphasis"/>
              </w:rPr>
              <w:t>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"/>
              <w:rPr>
                <w:lang w:val="en-NZ"/>
              </w:rPr>
            </w:pPr>
            <w:r w:rsidRPr="00EF2F16">
              <w:t xml:space="preserve">1. Prepare to support resolution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List"/>
            </w:pPr>
            <w:r w:rsidRPr="00EF2F16">
              <w:t xml:space="preserve">1.1 Identify task requirements </w:t>
            </w:r>
          </w:p>
          <w:p w:rsidR="00000000" w:rsidRPr="00EF2F16" w:rsidP="00EF2F16">
            <w:pPr>
              <w:pStyle w:val="List"/>
            </w:pPr>
            <w:r w:rsidRPr="00EF2F16">
              <w:t xml:space="preserve">1.2 Confirm scope of role in dispute resolution with supervisor </w:t>
            </w:r>
          </w:p>
          <w:p w:rsidR="00000000" w:rsidRPr="00EF2F16" w:rsidP="00EF2F16">
            <w:pPr>
              <w:pStyle w:val="List"/>
            </w:pPr>
            <w:r w:rsidRPr="00EF2F16">
              <w:t>1.3 Identify key facts of di</w:t>
            </w:r>
            <w:r w:rsidRPr="00EF2F16">
              <w:t xml:space="preserve">spute, position of parties and desired outcomes </w:t>
            </w:r>
          </w:p>
          <w:p w:rsidR="00000000" w:rsidP="00EF2F16">
            <w:pPr>
              <w:pStyle w:val="List"/>
              <w:rPr>
                <w:lang w:val="en-NZ"/>
              </w:rPr>
            </w:pPr>
            <w:r w:rsidRPr="00EF2F16">
              <w:t>1.4 Assess applicable legislation and common law principles for resolution of case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"/>
              <w:rPr>
                <w:lang w:val="en-NZ"/>
              </w:rPr>
            </w:pPr>
            <w:r w:rsidRPr="00EF2F16">
              <w:t xml:space="preserve">2. Support resolution of dispute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List"/>
            </w:pPr>
            <w:r w:rsidRPr="00EF2F16">
              <w:t xml:space="preserve">2.1 Access and prepare documents for note-taking according to organisational policies and procedures </w:t>
            </w:r>
          </w:p>
          <w:p w:rsidR="00000000" w:rsidRPr="00EF2F16" w:rsidP="00EF2F16">
            <w:pPr>
              <w:pStyle w:val="List"/>
            </w:pPr>
            <w:r w:rsidRPr="00EF2F16">
              <w:t>2.2 Develop notes of mediation or arbitration proceedings according to task and organisational requirements</w:t>
            </w:r>
          </w:p>
          <w:p w:rsidR="00000000" w:rsidP="00EF2F16">
            <w:pPr>
              <w:pStyle w:val="List"/>
              <w:rPr>
                <w:lang w:val="en-NZ"/>
              </w:rPr>
            </w:pPr>
            <w:r w:rsidRPr="00EF2F16">
              <w:t>2.3 Collate additional information or document</w:t>
            </w:r>
            <w:r w:rsidRPr="00EF2F16">
              <w:t xml:space="preserve">s for final </w:t>
            </w:r>
            <w:r w:rsidRPr="00EF2F16">
              <w:t xml:space="preserve">documentation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"/>
              <w:rPr>
                <w:lang w:val="en-NZ"/>
              </w:rPr>
            </w:pPr>
            <w:r w:rsidRPr="00EF2F16">
              <w:t xml:space="preserve">3. Finalise support for dispute resolution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List"/>
            </w:pPr>
            <w:r w:rsidRPr="00EF2F16">
              <w:t xml:space="preserve">3.1 Discuss and analyse dispute resolution process and outcome with supervisor </w:t>
            </w:r>
          </w:p>
          <w:p w:rsidR="00000000" w:rsidRPr="00EF2F16" w:rsidP="00EF2F16">
            <w:pPr>
              <w:pStyle w:val="List"/>
            </w:pPr>
            <w:r w:rsidRPr="00EF2F16">
              <w:t xml:space="preserve">3.2 Review and amend dispute resolution paperwork with supervisor </w:t>
            </w:r>
          </w:p>
          <w:p w:rsidR="00000000" w:rsidRPr="00EF2F16" w:rsidP="00EF2F16">
            <w:pPr>
              <w:pStyle w:val="List"/>
            </w:pPr>
            <w:r w:rsidRPr="00EF2F16">
              <w:t>3.3 Despatch information and paperwor</w:t>
            </w:r>
            <w:r w:rsidRPr="00EF2F16">
              <w:t xml:space="preserve">k to parties according to task and organisational requirements </w:t>
            </w:r>
          </w:p>
        </w:tc>
      </w:tr>
    </w:tbl>
    <w:p w:rsidR="00000000" w:rsidRPr="00EF2F16" w:rsidP="00EF2F16">
      <w:pPr>
        <w:pStyle w:val="BodyText"/>
      </w:pPr>
    </w:p>
    <w:p w:rsidR="00000000" w:rsidRPr="00EF2F16" w:rsidP="00EF2F16">
      <w:pPr>
        <w:pStyle w:val="AllowPageBreak"/>
      </w:pPr>
    </w:p>
    <w:p w:rsidR="00000000" w:rsidRPr="00EF2F16" w:rsidP="00EF2F16">
      <w:pPr>
        <w:pStyle w:val="Heading1"/>
      </w:pPr>
      <w:bookmarkStart w:id="5" w:name="O_1124390"/>
      <w:bookmarkEnd w:id="5"/>
      <w:r w:rsidRPr="00EF2F16">
        <w:t>Foundation Skills</w:t>
      </w:r>
    </w:p>
    <w:p w:rsidR="00000000" w:rsidRPr="002714F1" w:rsidP="002714F1">
      <w:pPr>
        <w:pStyle w:val="BodyText"/>
        <w:rPr>
          <w:i/>
        </w:rPr>
      </w:pPr>
      <w:r w:rsidRPr="002714F1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2714F1">
        <w:rPr>
          <w:rStyle w:val="Emphasis"/>
        </w:rPr>
        <w:t>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rPr>
                <w:rStyle w:val="SpecialBold"/>
              </w:rPr>
              <w:t>Description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Bullet"/>
              <w:rPr>
                <w:lang w:val="en-NZ"/>
              </w:rPr>
            </w:pPr>
            <w:r w:rsidRPr="00EF2F16">
              <w:t xml:space="preserve">Listens to clear, sequenced instructions of several steps and asks clarifying questions as required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Bullet"/>
              <w:rPr>
                <w:lang w:val="en-NZ"/>
              </w:rPr>
            </w:pPr>
            <w:r w:rsidRPr="00EF2F16">
              <w:t xml:space="preserve">Identifies and interprets textual information to determine job requirements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ListBullet"/>
            </w:pPr>
            <w:r w:rsidRPr="00EF2F16">
              <w:t xml:space="preserve">Completes a range of forms accurately and legibly using correct technical vocabulary </w:t>
            </w:r>
          </w:p>
          <w:p w:rsidR="00000000" w:rsidP="00EF2F16">
            <w:pPr>
              <w:pStyle w:val="ListBullet"/>
              <w:rPr>
                <w:lang w:val="en-NZ"/>
              </w:rPr>
            </w:pPr>
            <w:r w:rsidRPr="00EF2F16">
              <w:t xml:space="preserve">Uses clear, accurate and relevant language to transcribe events and complete documentation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Bullet"/>
              <w:rPr>
                <w:lang w:val="en-NZ"/>
              </w:rPr>
            </w:pPr>
            <w:r w:rsidRPr="00EF2F16">
              <w:t xml:space="preserve">Cooperates with others as a part of familiar routine activities and contributes to specific activities requiring joint responsibility and accountability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ListBullet"/>
              <w:rPr>
                <w:lang w:val="en-NZ"/>
              </w:rPr>
            </w:pPr>
            <w:r w:rsidRPr="00EF2F16">
              <w:t>Takes personal responsibility for adherence to legal and regulatory requir</w:t>
            </w:r>
            <w:r w:rsidRPr="00EF2F16">
              <w:t xml:space="preserve">ements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ListBullet"/>
            </w:pPr>
            <w:r w:rsidRPr="00EF2F16">
              <w:t xml:space="preserve">Takes responsibility for routine decisions related directly to own role </w:t>
            </w:r>
          </w:p>
          <w:p w:rsidR="00000000" w:rsidP="00EF2F16">
            <w:pPr>
              <w:pStyle w:val="ListBullet"/>
              <w:rPr>
                <w:lang w:val="en-NZ"/>
              </w:rPr>
            </w:pPr>
            <w:r w:rsidRPr="00EF2F16">
              <w:t xml:space="preserve">Takes responsibility for planning, sequencing and prioritising tasks and own workload for efficient and effective outcomes </w:t>
            </w:r>
          </w:p>
        </w:tc>
      </w:tr>
      <w:tr w:rsidTr="00EF2F1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ListBullet"/>
            </w:pPr>
            <w:r w:rsidRPr="00EF2F16">
              <w:t>Uses familiar digita</w:t>
            </w:r>
            <w:r w:rsidRPr="00EF2F16">
              <w:t>l technologies and systems to access information, and enter and store data</w:t>
            </w:r>
          </w:p>
        </w:tc>
      </w:tr>
    </w:tbl>
    <w:p w:rsidR="00000000" w:rsidRPr="00EF2F16" w:rsidP="00EF2F16">
      <w:pPr>
        <w:pStyle w:val="BodyText"/>
      </w:pPr>
    </w:p>
    <w:p w:rsidR="00000000" w:rsidRPr="00EF2F16" w:rsidP="00EF2F16">
      <w:pPr>
        <w:pStyle w:val="AllowPageBreak"/>
      </w:pPr>
    </w:p>
    <w:p w:rsidR="00000000" w:rsidRPr="00EF2F16" w:rsidP="00EF2F16">
      <w:pPr>
        <w:pStyle w:val="Heading1"/>
      </w:pPr>
      <w:bookmarkStart w:id="6" w:name="O_1124389"/>
      <w:bookmarkEnd w:id="6"/>
      <w:r w:rsidRPr="00EF2F16">
        <w:t>Unit Mapping Information</w:t>
      </w:r>
    </w:p>
    <w:p w:rsidR="00000000" w:rsidRPr="00EF2F16" w:rsidP="002714F1">
      <w:pPr>
        <w:pStyle w:val="BodyText"/>
      </w:pPr>
      <w:r w:rsidRPr="00EF2F16">
        <w:t xml:space="preserve">No equivalent unit. New unit. </w:t>
      </w:r>
    </w:p>
    <w:p w:rsidR="00000000" w:rsidRPr="00EF2F16" w:rsidP="00EF2F16">
      <w:pPr>
        <w:pStyle w:val="Heading1"/>
      </w:pPr>
      <w:bookmarkStart w:id="7" w:name="O_1124382"/>
      <w:bookmarkEnd w:id="7"/>
      <w:r w:rsidRPr="00EF2F16">
        <w:t>Links</w:t>
      </w:r>
    </w:p>
    <w:p w:rsidR="00000000" w:rsidRPr="00EF2F16" w:rsidP="002714F1">
      <w:pPr>
        <w:pStyle w:val="BodyText"/>
      </w:pPr>
      <w:r w:rsidRPr="00EF2F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52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2F16" w:rsidP="002714F1">
      <w:pPr>
        <w:pStyle w:val="BodyText"/>
        <w:sectPr w:rsidSect="00EF2F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2F16" w:rsidP="00EF2F16">
      <w:pPr>
        <w:pStyle w:val="SuperHeading"/>
      </w:pPr>
      <w:r w:rsidRPr="00EF2F16">
        <w:t>Assessment Requirements for BSBLEG533 Support alternative dispute</w:t>
      </w:r>
      <w:r w:rsidRPr="00EF2F16">
        <w:t xml:space="preserve"> resolution processes</w:t>
      </w:r>
    </w:p>
    <w:p w:rsidR="00000000" w:rsidRPr="00EF2F16" w:rsidP="00EF2F16">
      <w:pPr>
        <w:pStyle w:val="Heading1"/>
      </w:pPr>
      <w:bookmarkStart w:id="8" w:name="O_1124384"/>
      <w:bookmarkEnd w:id="8"/>
      <w:r w:rsidRPr="00EF2F1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F2F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rPr>
                <w:rStyle w:val="SpecialBold"/>
              </w:rPr>
              <w:t>Release</w:t>
            </w:r>
            <w:r w:rsidRPr="00EF2F1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rPr>
                <w:rStyle w:val="SpecialBold"/>
              </w:rPr>
              <w:t>Comments</w:t>
            </w:r>
            <w:r w:rsidRPr="00EF2F16">
              <w:t> </w:t>
            </w:r>
          </w:p>
        </w:tc>
      </w:tr>
      <w:tr w:rsidTr="00EF2F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16">
            <w:pPr>
              <w:pStyle w:val="BodyText"/>
              <w:rPr>
                <w:lang w:val="en-NZ"/>
              </w:rPr>
            </w:pPr>
            <w:r w:rsidRPr="00EF2F1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16" w:rsidP="00EF2F16">
            <w:pPr>
              <w:pStyle w:val="BodyText"/>
            </w:pPr>
            <w:r w:rsidRPr="00EF2F16">
              <w:t>This version first released with BSB Business Services Training Package Version 7.0.</w:t>
            </w:r>
          </w:p>
        </w:tc>
      </w:tr>
    </w:tbl>
    <w:p w:rsidR="00000000" w:rsidRPr="00EF2F16" w:rsidP="00EF2F16">
      <w:pPr>
        <w:pStyle w:val="BodyText"/>
      </w:pPr>
    </w:p>
    <w:p w:rsidR="00000000" w:rsidRPr="00EF2F16" w:rsidP="00EF2F16">
      <w:pPr>
        <w:pStyle w:val="AllowPageBreak"/>
      </w:pPr>
    </w:p>
    <w:p w:rsidR="00000000" w:rsidRPr="00EF2F16" w:rsidP="00EF2F16">
      <w:pPr>
        <w:pStyle w:val="Heading1"/>
      </w:pPr>
      <w:bookmarkStart w:id="9" w:name="O_1124387"/>
      <w:bookmarkEnd w:id="9"/>
      <w:r w:rsidRPr="00EF2F16">
        <w:t>Performance Evidence</w:t>
      </w:r>
    </w:p>
    <w:p w:rsidR="00000000" w:rsidRPr="00EF2F16" w:rsidP="002714F1">
      <w:pPr>
        <w:pStyle w:val="BodyText"/>
      </w:pPr>
      <w:r w:rsidRPr="00EF2F16">
        <w:t>The candidate must demonstrate the ability to complete the tasks outlined in the elements, performance criteria and foundation skills of this unit, including evidence of the ability to:</w:t>
      </w:r>
    </w:p>
    <w:p w:rsidR="00000000" w:rsidRPr="00EF2F16" w:rsidP="00EF2F16">
      <w:pPr>
        <w:pStyle w:val="ListBullet"/>
      </w:pPr>
      <w:r w:rsidRPr="00EF2F16">
        <w:t>support alternative dispute resolution processes on at least three oc</w:t>
      </w:r>
      <w:r w:rsidRPr="00EF2F16">
        <w:t xml:space="preserve">casions, including at least one mediation and at least one arbitration. </w:t>
      </w:r>
    </w:p>
    <w:p w:rsidR="00000000" w:rsidRPr="00EF2F16" w:rsidP="00EF2F16">
      <w:pPr>
        <w:pStyle w:val="AllowPageBreak"/>
      </w:pPr>
    </w:p>
    <w:p w:rsidR="00000000" w:rsidRPr="00EF2F16" w:rsidP="00EF2F16">
      <w:pPr>
        <w:pStyle w:val="Heading1"/>
      </w:pPr>
      <w:bookmarkStart w:id="10" w:name="O_1124386"/>
      <w:bookmarkEnd w:id="10"/>
      <w:r w:rsidRPr="00EF2F16">
        <w:t>Knowledge Evidence</w:t>
      </w:r>
    </w:p>
    <w:p w:rsidR="00000000" w:rsidRPr="00EF2F16" w:rsidP="002714F1">
      <w:pPr>
        <w:pStyle w:val="BodyText"/>
      </w:pPr>
      <w:r w:rsidRPr="00EF2F16">
        <w:t>The candidate must be able to demonstrate knowledge to complete the tasks outlined in the elements, performance criteria and foundation skills of this unit, including knowledge of:</w:t>
      </w:r>
    </w:p>
    <w:p w:rsidR="00000000" w:rsidRPr="00EF2F16" w:rsidP="00EF2F16">
      <w:pPr>
        <w:pStyle w:val="ListBullet"/>
      </w:pPr>
      <w:r w:rsidRPr="00EF2F16">
        <w:t>dispute resolution processes for conflicts including alternative dispute r</w:t>
      </w:r>
      <w:r w:rsidRPr="00EF2F16">
        <w:t xml:space="preserve">esolution processes </w:t>
      </w:r>
    </w:p>
    <w:p w:rsidR="00000000" w:rsidRPr="00EF2F16" w:rsidP="00EF2F16">
      <w:pPr>
        <w:pStyle w:val="ListBullet"/>
      </w:pPr>
      <w:r w:rsidRPr="00EF2F16">
        <w:t xml:space="preserve">types of alternative dispute resolution processes </w:t>
      </w:r>
    </w:p>
    <w:p w:rsidR="00000000" w:rsidRPr="00EF2F16" w:rsidP="00EF2F16">
      <w:pPr>
        <w:pStyle w:val="ListBullet"/>
      </w:pPr>
      <w:r w:rsidRPr="00EF2F16">
        <w:t xml:space="preserve">advantages and disadvantages of types of alternative dispute resolution processes </w:t>
      </w:r>
    </w:p>
    <w:p w:rsidR="00000000" w:rsidRPr="00EF2F16" w:rsidP="00EF2F16">
      <w:pPr>
        <w:pStyle w:val="ListBullet"/>
      </w:pPr>
      <w:r w:rsidRPr="00EF2F16">
        <w:t>key facts, position and intended outcomes of case</w:t>
      </w:r>
    </w:p>
    <w:p w:rsidR="00000000" w:rsidRPr="00EF2F16" w:rsidP="00EF2F16">
      <w:pPr>
        <w:pStyle w:val="ListBullet"/>
      </w:pPr>
      <w:r w:rsidRPr="00EF2F16">
        <w:t>content and preparation of alternative dispute reso</w:t>
      </w:r>
      <w:r w:rsidRPr="00EF2F16">
        <w:t xml:space="preserve">lution documents </w:t>
      </w:r>
    </w:p>
    <w:p w:rsidR="00000000" w:rsidRPr="00EF2F16" w:rsidP="00EF2F16">
      <w:pPr>
        <w:pStyle w:val="ListBullet"/>
      </w:pPr>
      <w:r w:rsidRPr="00EF2F16">
        <w:t xml:space="preserve">organisational policies and procedures for alternative dispute resolution processes </w:t>
      </w:r>
    </w:p>
    <w:p w:rsidR="00000000" w:rsidRPr="00EF2F16" w:rsidP="00EF2F16">
      <w:pPr>
        <w:pStyle w:val="ListBullet"/>
      </w:pPr>
      <w:r w:rsidRPr="00EF2F16">
        <w:t>alternative dispute resolution legislation.</w:t>
      </w:r>
    </w:p>
    <w:p w:rsidR="00000000" w:rsidRPr="00EF2F16" w:rsidP="00EF2F16">
      <w:pPr>
        <w:pStyle w:val="AllowPageBreak"/>
      </w:pPr>
    </w:p>
    <w:p w:rsidR="00000000" w:rsidRPr="00EF2F16" w:rsidP="00EF2F16">
      <w:pPr>
        <w:pStyle w:val="Heading1"/>
      </w:pPr>
      <w:bookmarkStart w:id="11" w:name="O_1124385"/>
      <w:bookmarkEnd w:id="11"/>
      <w:r w:rsidRPr="00EF2F16">
        <w:t>Assessment Conditions</w:t>
      </w:r>
    </w:p>
    <w:p w:rsidR="00000000" w:rsidRPr="00EF2F16" w:rsidP="002714F1">
      <w:pPr>
        <w:pStyle w:val="BodyText"/>
      </w:pPr>
      <w:r w:rsidRPr="00EF2F16">
        <w:t>Skills in this unit must be demonstrated in a workplace or simulated</w:t>
      </w:r>
      <w:r w:rsidRPr="00EF2F16">
        <w:t xml:space="preserve"> environment where the conditions are typical of those in a working environment in this industry. </w:t>
      </w:r>
    </w:p>
    <w:p w:rsidR="00000000" w:rsidRPr="00EF2F16" w:rsidP="002714F1">
      <w:pPr>
        <w:pStyle w:val="BodyText"/>
      </w:pPr>
      <w:r w:rsidRPr="00EF2F16">
        <w:t>This includes access to:</w:t>
      </w:r>
    </w:p>
    <w:p w:rsidR="00000000" w:rsidRPr="00EF2F16" w:rsidP="00EF2F16">
      <w:pPr>
        <w:pStyle w:val="ListBullet"/>
      </w:pPr>
      <w:r w:rsidRPr="00EF2F16">
        <w:t xml:space="preserve">legislation and regulations relevant to alternative dispute resolution processes </w:t>
      </w:r>
    </w:p>
    <w:p w:rsidR="00000000" w:rsidRPr="00EF2F16" w:rsidP="00EF2F16">
      <w:pPr>
        <w:pStyle w:val="ListBullet"/>
      </w:pPr>
      <w:r w:rsidRPr="00EF2F16">
        <w:t>workplace policies and procedures and reference m</w:t>
      </w:r>
      <w:r w:rsidRPr="00EF2F16">
        <w:t>aterials relevant to performance evidence</w:t>
      </w:r>
    </w:p>
    <w:p w:rsidR="00000000" w:rsidRPr="00EF2F16" w:rsidP="00EF2F16">
      <w:pPr>
        <w:pStyle w:val="ListBullet"/>
      </w:pPr>
      <w:r w:rsidRPr="00EF2F16">
        <w:t>background information on alternative dispute resolution processes.</w:t>
      </w:r>
    </w:p>
    <w:p w:rsidR="00000000" w:rsidRPr="00EF2F16" w:rsidP="00EF2F16">
      <w:pPr>
        <w:pStyle w:val="BodyText"/>
      </w:pPr>
    </w:p>
    <w:p w:rsidR="00000000" w:rsidRPr="00EF2F16" w:rsidP="002714F1">
      <w:pPr>
        <w:pStyle w:val="BodyText"/>
      </w:pPr>
      <w:r w:rsidRPr="00EF2F16">
        <w:t>Assessors of this unit must satisfy the requirements for assessors in applicable vocational education and training legislation, frameworks and/or</w:t>
      </w:r>
      <w:r w:rsidRPr="00EF2F16">
        <w:t xml:space="preserve"> standards.</w:t>
      </w:r>
    </w:p>
    <w:p w:rsidR="00000000" w:rsidRPr="00EF2F16" w:rsidP="00EF2F16">
      <w:pPr>
        <w:pStyle w:val="Heading1"/>
      </w:pPr>
      <w:bookmarkStart w:id="12" w:name="O_1124383"/>
      <w:bookmarkEnd w:id="12"/>
      <w:r w:rsidRPr="00EF2F16">
        <w:t>Links</w:t>
      </w:r>
    </w:p>
    <w:p w:rsidR="00000000" w:rsidRPr="00EF2F16" w:rsidP="002714F1">
      <w:pPr>
        <w:pStyle w:val="BodyText"/>
      </w:pPr>
      <w:r w:rsidRPr="00EF2F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52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2F16" w:rsidP="00EF2F16"/>
    <w:sectPr w:rsidSect="00EF2F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 w:rsidRPr="002714F1" w:rsidP="00271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1" w:rsidP="00EF2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4F1" w:rsidP="00EF2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14F1" w:rsidP="00EF2F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 w:rsidP="00EF2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14F1">
      <w:t>Approved</w:t>
    </w:r>
    <w:r w:rsidR="002714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14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14F1">
      <w:rPr>
        <w:noProof/>
      </w:rPr>
      <w:t>4</w:t>
    </w:r>
    <w:r>
      <w:rPr>
        <w:noProof/>
      </w:rPr>
      <w:fldChar w:fldCharType="end"/>
    </w:r>
  </w:p>
  <w:p w:rsidR="00EF2F16" w:rsidP="00EF2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14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14F1">
      <w:t>Future Skills Organisation</w:t>
    </w:r>
    <w:r w:rsidR="002714F1">
      <w:fldChar w:fldCharType="end"/>
    </w:r>
  </w:p>
  <w:p w:rsidR="00EF2F16" w:rsidP="00EF2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F16" w:rsidRPr="002714F1" w:rsidP="00271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1" w:rsidRPr="002D2AF8" w:rsidP="00EF2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BSBLEG533 Support alternative dispute resolution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14F1" w:rsidP="00EF2F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16" w:rsidRPr="002D2AF8" w:rsidP="00EF2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14F1">
      <w:t>BSBLEG533 Support alternative dispute resolution processes</w:t>
    </w:r>
    <w:r w:rsidR="002714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14F1">
      <w:rPr>
        <w:noProof/>
      </w:rPr>
      <w:t>1 March 2025</w:t>
    </w:r>
    <w:r>
      <w:fldChar w:fldCharType="end"/>
    </w:r>
  </w:p>
  <w:p w:rsidR="00EF2F16" w:rsidP="00EF2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AD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CE4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F16"/>
  </w:style>
  <w:style w:type="character" w:customStyle="1" w:styleId="Heading1Char">
    <w:name w:val="Heading 1 Char"/>
    <w:basedOn w:val="DefaultParagraphFont"/>
    <w:link w:val="Heading1"/>
    <w:rsid w:val="00EF2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F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2F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F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F16"/>
    <w:rPr>
      <w:b/>
      <w:spacing w:val="0"/>
    </w:rPr>
  </w:style>
  <w:style w:type="character" w:styleId="Emphasis">
    <w:name w:val="Emphasis"/>
    <w:basedOn w:val="DefaultParagraphFont"/>
    <w:qFormat/>
    <w:rsid w:val="00EF2F16"/>
    <w:rPr>
      <w:i/>
    </w:rPr>
  </w:style>
  <w:style w:type="paragraph" w:customStyle="1" w:styleId="SuperHeading">
    <w:name w:val="SuperHeading"/>
    <w:basedOn w:val="Normal"/>
    <w:rsid w:val="00EF2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F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F16"/>
  </w:style>
  <w:style w:type="paragraph" w:styleId="TableofFigures">
    <w:name w:val="table of figures"/>
    <w:basedOn w:val="Normal"/>
    <w:next w:val="Normal"/>
    <w:semiHidden/>
    <w:rsid w:val="00EF2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F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F16"/>
    <w:rPr>
      <w:rFonts w:ascii="Wingdings" w:hAnsi="Wingdings"/>
    </w:rPr>
  </w:style>
  <w:style w:type="paragraph" w:customStyle="1" w:styleId="TableHeading">
    <w:name w:val="Table Heading"/>
    <w:basedOn w:val="HeadingBase"/>
    <w:rsid w:val="00EF2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F16"/>
    <w:rPr>
      <w:color w:val="0033CC"/>
      <w:u w:val="none"/>
    </w:rPr>
  </w:style>
  <w:style w:type="paragraph" w:customStyle="1" w:styleId="BodyTextRight">
    <w:name w:val="Body Text Right"/>
    <w:basedOn w:val="BodyText"/>
    <w:rsid w:val="00EF2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F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F16"/>
    <w:rPr>
      <w:sz w:val="32"/>
    </w:rPr>
  </w:style>
  <w:style w:type="paragraph" w:customStyle="1" w:styleId="HeadingProcedure">
    <w:name w:val="Heading Procedure"/>
    <w:basedOn w:val="HeadingBase"/>
    <w:next w:val="Normal"/>
    <w:rsid w:val="00EF2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F16"/>
    <w:pPr>
      <w:spacing w:before="60" w:after="60"/>
    </w:pPr>
  </w:style>
  <w:style w:type="paragraph" w:styleId="ListContinue">
    <w:name w:val="List Continue"/>
    <w:basedOn w:val="List"/>
    <w:rsid w:val="00EF2F16"/>
    <w:pPr>
      <w:ind w:firstLine="0"/>
    </w:pPr>
  </w:style>
  <w:style w:type="paragraph" w:customStyle="1" w:styleId="ListNote">
    <w:name w:val="List Note"/>
    <w:basedOn w:val="List"/>
    <w:rsid w:val="00EF2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F16"/>
    <w:rPr>
      <w:rFonts w:ascii="Courier New" w:hAnsi="Courier New"/>
    </w:rPr>
  </w:style>
  <w:style w:type="paragraph" w:customStyle="1" w:styleId="NoteBullet">
    <w:name w:val="Note Bullet"/>
    <w:basedOn w:val="Note"/>
    <w:rsid w:val="00EF2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F16"/>
    <w:rPr>
      <w:b/>
      <w:smallCaps/>
    </w:rPr>
  </w:style>
  <w:style w:type="paragraph" w:customStyle="1" w:styleId="TableListNumber">
    <w:name w:val="Table List Number"/>
    <w:basedOn w:val="ListNumber"/>
    <w:rsid w:val="00EF2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F16"/>
    <w:pPr>
      <w:numPr>
        <w:numId w:val="8"/>
      </w:numPr>
    </w:pPr>
  </w:style>
  <w:style w:type="paragraph" w:customStyle="1" w:styleId="ListAlpha2">
    <w:name w:val="List Alpha 2"/>
    <w:basedOn w:val="List2"/>
    <w:rsid w:val="00EF2F16"/>
    <w:pPr>
      <w:numPr>
        <w:numId w:val="7"/>
      </w:numPr>
    </w:pPr>
  </w:style>
  <w:style w:type="paragraph" w:styleId="List2">
    <w:name w:val="List 2"/>
    <w:basedOn w:val="BodyText"/>
    <w:rsid w:val="00EF2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F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F16"/>
    <w:pPr>
      <w:numPr>
        <w:numId w:val="3"/>
      </w:numPr>
    </w:pPr>
  </w:style>
  <w:style w:type="paragraph" w:styleId="ListContinue2">
    <w:name w:val="List Continue 2"/>
    <w:basedOn w:val="List2"/>
    <w:rsid w:val="00EF2F16"/>
    <w:pPr>
      <w:ind w:firstLine="0"/>
    </w:pPr>
  </w:style>
  <w:style w:type="paragraph" w:styleId="ListContinue3">
    <w:name w:val="List Continue 3"/>
    <w:basedOn w:val="List3"/>
    <w:rsid w:val="00EF2F16"/>
    <w:pPr>
      <w:ind w:left="1021" w:firstLine="0"/>
    </w:pPr>
  </w:style>
  <w:style w:type="paragraph" w:styleId="ListContinue4">
    <w:name w:val="List Continue 4"/>
    <w:basedOn w:val="List4"/>
    <w:rsid w:val="00EF2F16"/>
    <w:pPr>
      <w:ind w:firstLine="0"/>
    </w:pPr>
  </w:style>
  <w:style w:type="paragraph" w:styleId="ListContinue5">
    <w:name w:val="List Continue 5"/>
    <w:basedOn w:val="List5"/>
    <w:rsid w:val="00EF2F16"/>
    <w:pPr>
      <w:ind w:firstLine="0"/>
    </w:pPr>
  </w:style>
  <w:style w:type="paragraph" w:styleId="ListNumber3">
    <w:name w:val="List Number 3"/>
    <w:basedOn w:val="List3"/>
    <w:rsid w:val="00EF2F16"/>
    <w:pPr>
      <w:numPr>
        <w:numId w:val="4"/>
      </w:numPr>
    </w:pPr>
  </w:style>
  <w:style w:type="paragraph" w:styleId="ListNumber4">
    <w:name w:val="List Number 4"/>
    <w:basedOn w:val="List4"/>
    <w:rsid w:val="00EF2F16"/>
    <w:pPr>
      <w:numPr>
        <w:numId w:val="5"/>
      </w:numPr>
    </w:pPr>
  </w:style>
  <w:style w:type="paragraph" w:styleId="ListNumber5">
    <w:name w:val="List Number 5"/>
    <w:basedOn w:val="List5"/>
    <w:rsid w:val="00EF2F16"/>
    <w:pPr>
      <w:numPr>
        <w:numId w:val="6"/>
      </w:numPr>
    </w:pPr>
  </w:style>
  <w:style w:type="paragraph" w:styleId="BlockText">
    <w:name w:val="Block Text"/>
    <w:basedOn w:val="Normal"/>
    <w:rsid w:val="00EF2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F16"/>
    <w:rPr>
      <w:sz w:val="16"/>
      <w:vertAlign w:val="superscript"/>
    </w:rPr>
  </w:style>
  <w:style w:type="character" w:customStyle="1" w:styleId="Symbols">
    <w:name w:val="Symbols"/>
    <w:basedOn w:val="DefaultParagraphFont"/>
    <w:rsid w:val="00EF2F16"/>
    <w:rPr>
      <w:rFonts w:ascii="Symbol" w:hAnsi="Symbol"/>
    </w:rPr>
  </w:style>
  <w:style w:type="character" w:customStyle="1" w:styleId="MenuOptions">
    <w:name w:val="Menu Options"/>
    <w:basedOn w:val="DefaultParagraphFont"/>
    <w:rsid w:val="00EF2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F16"/>
    <w:rPr>
      <w:b/>
    </w:rPr>
  </w:style>
  <w:style w:type="character" w:customStyle="1" w:styleId="Underlined">
    <w:name w:val="Underlined"/>
    <w:basedOn w:val="DefaultParagraphFont"/>
    <w:rsid w:val="00EF2F16"/>
    <w:rPr>
      <w:u w:val="single"/>
    </w:rPr>
  </w:style>
  <w:style w:type="paragraph" w:customStyle="1" w:styleId="TableBodyTextRight">
    <w:name w:val="Table Body Text Right"/>
    <w:basedOn w:val="TableBodyText"/>
    <w:rsid w:val="00EF2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F16"/>
    <w:rPr>
      <w:sz w:val="18"/>
    </w:rPr>
  </w:style>
  <w:style w:type="paragraph" w:customStyle="1" w:styleId="BodySmallRight">
    <w:name w:val="Body Small Right"/>
    <w:basedOn w:val="BodyTextRight"/>
    <w:rsid w:val="00EF2F16"/>
    <w:rPr>
      <w:sz w:val="18"/>
      <w:szCs w:val="18"/>
    </w:rPr>
  </w:style>
  <w:style w:type="paragraph" w:customStyle="1" w:styleId="MarginEdition">
    <w:name w:val="Margin Edition"/>
    <w:basedOn w:val="MarginNote"/>
    <w:rsid w:val="00EF2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F16"/>
    <w:rPr>
      <w:sz w:val="2"/>
      <w:szCs w:val="2"/>
    </w:rPr>
  </w:style>
  <w:style w:type="character" w:customStyle="1" w:styleId="Small">
    <w:name w:val="Small"/>
    <w:basedOn w:val="DefaultParagraphFont"/>
    <w:rsid w:val="00EF2F16"/>
    <w:rPr>
      <w:sz w:val="16"/>
    </w:rPr>
  </w:style>
  <w:style w:type="paragraph" w:customStyle="1" w:styleId="WideTable">
    <w:name w:val="Wide Table"/>
    <w:basedOn w:val="Normal"/>
    <w:rsid w:val="00EF2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F16"/>
  </w:style>
  <w:style w:type="paragraph" w:styleId="Quote">
    <w:name w:val="Quote"/>
    <w:basedOn w:val="Heading1"/>
    <w:link w:val="QuoteChar"/>
    <w:qFormat/>
    <w:rsid w:val="00EF2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F16"/>
    <w:pPr>
      <w:pageBreakBefore/>
    </w:pPr>
  </w:style>
  <w:style w:type="paragraph" w:customStyle="1" w:styleId="Border">
    <w:name w:val="Border"/>
    <w:basedOn w:val="Normal"/>
    <w:qFormat/>
    <w:rsid w:val="00EF2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F16"/>
    <w:rPr>
      <w:u w:val="single"/>
    </w:rPr>
  </w:style>
  <w:style w:type="character" w:customStyle="1" w:styleId="BoldandItalics">
    <w:name w:val="Bold and Italics"/>
    <w:qFormat/>
    <w:rsid w:val="00EF2F16"/>
    <w:rPr>
      <w:b/>
      <w:i/>
      <w:u w:val="none"/>
    </w:rPr>
  </w:style>
  <w:style w:type="paragraph" w:styleId="BalloonText">
    <w:name w:val="Balloon Text"/>
    <w:basedOn w:val="Normal"/>
    <w:link w:val="BalloonTextChar"/>
    <w:rsid w:val="00EF2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F16"/>
    <w:pPr>
      <w:spacing w:before="0" w:after="0"/>
    </w:pPr>
  </w:style>
  <w:style w:type="paragraph" w:customStyle="1" w:styleId="BodyTextBold">
    <w:name w:val="Body Text Bold"/>
    <w:basedOn w:val="BodyText"/>
    <w:qFormat/>
    <w:rsid w:val="00EF2F16"/>
    <w:rPr>
      <w:b/>
    </w:rPr>
  </w:style>
  <w:style w:type="character" w:styleId="Hyperlink">
    <w:name w:val="Hyperlink"/>
    <w:basedOn w:val="DefaultParagraphFont"/>
    <w:uiPriority w:val="99"/>
    <w:unhideWhenUsed/>
    <w:rsid w:val="00271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4761</Characters>
  <Application>Microsoft Office Word</Application>
  <DocSecurity>0</DocSecurity>
  <Lines>153</Lines>
  <Paragraphs>99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BSBLEG533 Support alternative dispute resolution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