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450" w:rsidP="009C2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BSBLEG421 Apply understanding of the Australian legal system</w:t>
      </w:r>
      <w:r>
        <w:fldChar w:fldCharType="end"/>
      </w:r>
    </w:p>
    <w:p w:rsidR="009C2450" w:rsidP="009C2450">
      <w:pPr>
        <w:pStyle w:val="Version"/>
        <w:sectPr w:rsidSect="008A6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301" w:rsidP="008A6301">
      <w:pPr>
        <w:pStyle w:val="SuperHeading"/>
      </w:pPr>
      <w:r w:rsidRPr="008A6301">
        <w:t>Assessment Requirements for BSBLEG421 Apply understanding of the Australian legal system</w:t>
      </w:r>
    </w:p>
    <w:p w:rsidR="00000000" w:rsidRPr="008A6301" w:rsidP="008A6301">
      <w:pPr>
        <w:pStyle w:val="Heading1"/>
      </w:pPr>
      <w:bookmarkStart w:id="1" w:name="O_1124112"/>
      <w:bookmarkEnd w:id="1"/>
      <w:r w:rsidRPr="008A630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A63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01" w:rsidP="008A6301">
            <w:pPr>
              <w:pStyle w:val="BodyText"/>
            </w:pPr>
            <w:r w:rsidRPr="008A6301">
              <w:rPr>
                <w:rStyle w:val="SpecialBold"/>
              </w:rPr>
              <w:t>Release</w:t>
            </w:r>
            <w:r w:rsidRPr="008A630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01">
            <w:pPr>
              <w:pStyle w:val="BodyText"/>
              <w:rPr>
                <w:lang w:val="en-NZ"/>
              </w:rPr>
            </w:pPr>
            <w:r w:rsidRPr="008A6301">
              <w:rPr>
                <w:rStyle w:val="SpecialBold"/>
              </w:rPr>
              <w:t>Comments</w:t>
            </w:r>
            <w:r w:rsidRPr="008A6301">
              <w:t> </w:t>
            </w:r>
          </w:p>
        </w:tc>
      </w:tr>
      <w:tr w:rsidTr="008A63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01">
            <w:pPr>
              <w:pStyle w:val="BodyText"/>
              <w:rPr>
                <w:lang w:val="en-NZ"/>
              </w:rPr>
            </w:pPr>
            <w:r w:rsidRPr="008A630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01" w:rsidP="008A6301">
            <w:pPr>
              <w:pStyle w:val="BodyText"/>
            </w:pPr>
            <w:r w:rsidRPr="008A6301">
              <w:t>This version first released with BSB Business Services Training Package Version 7.0.</w:t>
            </w:r>
          </w:p>
        </w:tc>
      </w:tr>
    </w:tbl>
    <w:p w:rsidR="00000000" w:rsidRPr="008A6301" w:rsidP="008A6301">
      <w:pPr>
        <w:pStyle w:val="BodyText"/>
      </w:pPr>
    </w:p>
    <w:p w:rsidR="00000000" w:rsidRPr="008A6301" w:rsidP="008A6301">
      <w:pPr>
        <w:pStyle w:val="AllowPageBreak"/>
      </w:pPr>
    </w:p>
    <w:p w:rsidR="00000000" w:rsidRPr="008A6301" w:rsidP="008A6301">
      <w:pPr>
        <w:pStyle w:val="Heading1"/>
      </w:pPr>
      <w:bookmarkStart w:id="2" w:name="O_1124115"/>
      <w:bookmarkEnd w:id="2"/>
      <w:r w:rsidRPr="008A6301">
        <w:t>Performance Evidence</w:t>
      </w:r>
    </w:p>
    <w:p w:rsidR="00000000" w:rsidRPr="008A6301" w:rsidP="009C2450">
      <w:pPr>
        <w:pStyle w:val="BodyText"/>
      </w:pPr>
      <w:r w:rsidRPr="008A6301">
        <w:t>The candidate must demonstrate the ability to complete the tasks outlined in the elements, performance criteria and foundation skills of this unit, including evidence of the ability to:</w:t>
      </w:r>
    </w:p>
    <w:p w:rsidR="00000000" w:rsidRPr="008A6301" w:rsidP="008A6301">
      <w:pPr>
        <w:pStyle w:val="ListBullet"/>
      </w:pPr>
      <w:r w:rsidRPr="008A6301">
        <w:t xml:space="preserve">prepare one report or one presentation </w:t>
      </w:r>
      <w:r w:rsidRPr="008A6301">
        <w:t>that covers the following:</w:t>
      </w:r>
    </w:p>
    <w:p w:rsidR="00000000" w:rsidRPr="008A6301" w:rsidP="008A6301">
      <w:pPr>
        <w:pStyle w:val="ListBullet2"/>
      </w:pPr>
      <w:r w:rsidRPr="008A6301">
        <w:t>Australian law</w:t>
      </w:r>
    </w:p>
    <w:p w:rsidR="00000000" w:rsidRPr="008A6301" w:rsidP="008A6301">
      <w:pPr>
        <w:pStyle w:val="ListBullet2"/>
      </w:pPr>
      <w:r w:rsidRPr="008A6301">
        <w:t>statute law</w:t>
      </w:r>
    </w:p>
    <w:p w:rsidR="00000000" w:rsidRPr="008A6301" w:rsidP="008A6301">
      <w:pPr>
        <w:pStyle w:val="ListBullet2"/>
      </w:pPr>
      <w:r w:rsidRPr="008A6301">
        <w:t>common law</w:t>
      </w:r>
    </w:p>
    <w:p w:rsidR="00000000" w:rsidRPr="008A6301" w:rsidP="008A6301">
      <w:pPr>
        <w:pStyle w:val="ListBullet2"/>
      </w:pPr>
      <w:r w:rsidRPr="008A6301">
        <w:t>elements of the adversary trial system</w:t>
      </w:r>
    </w:p>
    <w:p w:rsidR="00000000" w:rsidRPr="008A6301" w:rsidP="008A6301">
      <w:pPr>
        <w:pStyle w:val="ListBullet2"/>
      </w:pPr>
      <w:r w:rsidRPr="008A6301">
        <w:t>civil and criminal proceedings.</w:t>
      </w:r>
    </w:p>
    <w:p w:rsidR="00000000" w:rsidRPr="008A6301" w:rsidP="009C2450">
      <w:pPr>
        <w:pStyle w:val="BodyText"/>
      </w:pPr>
      <w:r w:rsidRPr="008A6301">
        <w:t>In the course of the above, the candidate must:</w:t>
      </w:r>
    </w:p>
    <w:p w:rsidR="00000000" w:rsidRPr="008A6301" w:rsidP="008A6301">
      <w:pPr>
        <w:pStyle w:val="ListBullet"/>
      </w:pPr>
      <w:r w:rsidRPr="008A6301">
        <w:t>explain differences between Australian law-making institutions, including courts and legislative bodies</w:t>
      </w:r>
    </w:p>
    <w:p w:rsidR="00000000" w:rsidRPr="008A6301" w:rsidP="008A6301">
      <w:pPr>
        <w:pStyle w:val="ListBullet"/>
      </w:pPr>
      <w:r w:rsidRPr="008A6301">
        <w:t>explain relationship between legislative powers of Federal Government and state/territory governments, including limitations on legislative authority</w:t>
      </w:r>
    </w:p>
    <w:p w:rsidR="00000000" w:rsidRPr="008A6301" w:rsidP="008A6301">
      <w:pPr>
        <w:pStyle w:val="ListBullet"/>
      </w:pPr>
      <w:r w:rsidRPr="008A6301">
        <w:t>id</w:t>
      </w:r>
      <w:r w:rsidRPr="008A6301">
        <w:t>entify appropriate bodies to hear civil versus criminal proceedings</w:t>
      </w:r>
    </w:p>
    <w:p w:rsidR="00000000" w:rsidRPr="008A6301" w:rsidP="008A6301">
      <w:pPr>
        <w:pStyle w:val="ListBullet"/>
      </w:pPr>
      <w:r w:rsidRPr="008A6301">
        <w:t>explain how adversarial system of trial operates</w:t>
      </w:r>
    </w:p>
    <w:p w:rsidR="00000000" w:rsidRPr="008A6301" w:rsidP="008A6301">
      <w:pPr>
        <w:pStyle w:val="ListBullet"/>
      </w:pPr>
      <w:r w:rsidRPr="008A6301">
        <w:t>explain application and outcomes of principles of precedent.</w:t>
      </w:r>
    </w:p>
    <w:p w:rsidR="00000000" w:rsidRPr="008A6301" w:rsidP="008A6301">
      <w:pPr>
        <w:pStyle w:val="AllowPageBreak"/>
      </w:pPr>
    </w:p>
    <w:p w:rsidR="00000000" w:rsidRPr="008A6301" w:rsidP="008A6301">
      <w:pPr>
        <w:pStyle w:val="Heading1"/>
      </w:pPr>
      <w:bookmarkStart w:id="3" w:name="O_1124114"/>
      <w:bookmarkEnd w:id="3"/>
      <w:r w:rsidRPr="008A6301">
        <w:t>Knowledge Evidence</w:t>
      </w:r>
    </w:p>
    <w:p w:rsidR="00000000" w:rsidRPr="008A6301" w:rsidP="009C2450">
      <w:pPr>
        <w:pStyle w:val="BodyText"/>
      </w:pPr>
      <w:r w:rsidRPr="008A6301">
        <w:t>The candidate must be able to demonstrat</w:t>
      </w:r>
      <w:r w:rsidRPr="008A6301">
        <w:t>e knowledge to complete the tasks outlined in the elements, performance criteria and foundation skills of this unit, including knowledge of:</w:t>
      </w:r>
    </w:p>
    <w:p w:rsidR="00000000" w:rsidRPr="008A6301" w:rsidP="008A6301">
      <w:pPr>
        <w:pStyle w:val="ListBullet"/>
      </w:pPr>
      <w:r w:rsidRPr="008A6301">
        <w:t>institutions and main features of the Australian legal system</w:t>
      </w:r>
    </w:p>
    <w:p w:rsidR="00000000" w:rsidRPr="008A6301" w:rsidP="008A6301">
      <w:pPr>
        <w:pStyle w:val="ListBullet"/>
      </w:pPr>
      <w:r w:rsidRPr="008A6301">
        <w:t>federal system</w:t>
      </w:r>
    </w:p>
    <w:p w:rsidR="00000000" w:rsidRPr="008A6301" w:rsidP="008A6301">
      <w:pPr>
        <w:pStyle w:val="ListBullet"/>
      </w:pPr>
      <w:r w:rsidRPr="008A6301">
        <w:t>sources of law</w:t>
      </w:r>
    </w:p>
    <w:p w:rsidR="00000000" w:rsidRPr="008A6301" w:rsidP="008A6301">
      <w:pPr>
        <w:pStyle w:val="ListBullet"/>
      </w:pPr>
      <w:r w:rsidRPr="008A6301">
        <w:t>trial systems for resolving disputes</w:t>
      </w:r>
    </w:p>
    <w:p w:rsidR="00000000" w:rsidRPr="008A6301" w:rsidP="008A6301">
      <w:pPr>
        <w:pStyle w:val="ListBullet"/>
      </w:pPr>
      <w:r w:rsidRPr="008A6301">
        <w:t xml:space="preserve">rules for resolving conflicts of laws </w:t>
      </w:r>
    </w:p>
    <w:p w:rsidR="00000000" w:rsidRPr="008A6301" w:rsidP="008A6301">
      <w:pPr>
        <w:pStyle w:val="ListBullet"/>
      </w:pPr>
      <w:r w:rsidRPr="008A6301">
        <w:t>legal terminology in relation to areas of practice of law and relevant legal processes</w:t>
      </w:r>
    </w:p>
    <w:p w:rsidR="00000000" w:rsidRPr="008A6301" w:rsidP="008A6301">
      <w:pPr>
        <w:pStyle w:val="ListBullet"/>
      </w:pPr>
      <w:r w:rsidRPr="008A6301">
        <w:t>methods used to identify and interpret appropriate information about sources of Australian la</w:t>
      </w:r>
      <w:r w:rsidRPr="008A6301">
        <w:t>w</w:t>
      </w:r>
    </w:p>
    <w:p w:rsidR="00000000" w:rsidRPr="008A6301" w:rsidP="008A6301">
      <w:pPr>
        <w:pStyle w:val="ListBullet"/>
      </w:pPr>
      <w:r w:rsidRPr="008A6301">
        <w:t>scope of own responsibilities in context of legal framework.</w:t>
      </w:r>
    </w:p>
    <w:p w:rsidR="00000000" w:rsidRPr="008A6301" w:rsidP="008A6301">
      <w:pPr>
        <w:pStyle w:val="AllowPageBreak"/>
      </w:pPr>
    </w:p>
    <w:p w:rsidR="00000000" w:rsidRPr="008A6301" w:rsidP="008A6301">
      <w:pPr>
        <w:pStyle w:val="Heading1"/>
      </w:pPr>
      <w:bookmarkStart w:id="4" w:name="O_1124113"/>
      <w:bookmarkEnd w:id="4"/>
      <w:r w:rsidRPr="008A6301">
        <w:t>Assessment Conditions</w:t>
      </w:r>
    </w:p>
    <w:p w:rsidR="00000000" w:rsidRPr="008A6301" w:rsidP="009C2450">
      <w:pPr>
        <w:pStyle w:val="BodyText"/>
      </w:pPr>
      <w:r w:rsidRPr="008A6301">
        <w:t>Skills in this unit must be demonstrated in a workplace or simulated environment where the conditions are typical of those in a working environment in t</w:t>
      </w:r>
      <w:r w:rsidRPr="008A6301">
        <w:t xml:space="preserve">his industry. </w:t>
      </w:r>
    </w:p>
    <w:p w:rsidR="00000000" w:rsidRPr="008A6301" w:rsidP="009C2450">
      <w:pPr>
        <w:pStyle w:val="BodyText"/>
      </w:pPr>
      <w:r w:rsidRPr="008A6301">
        <w:t>This includes access to:</w:t>
      </w:r>
    </w:p>
    <w:p w:rsidR="00000000" w:rsidRPr="008A6301" w:rsidP="008A6301">
      <w:pPr>
        <w:pStyle w:val="ListBullet"/>
      </w:pPr>
      <w:r w:rsidRPr="008A6301">
        <w:t xml:space="preserve">office equipment and resources for fulfilling performance criteria </w:t>
      </w:r>
    </w:p>
    <w:p w:rsidR="00000000" w:rsidRPr="008A6301" w:rsidP="008A6301">
      <w:pPr>
        <w:pStyle w:val="ListBullet"/>
      </w:pPr>
      <w:r w:rsidRPr="008A6301">
        <w:t xml:space="preserve">relevant legislation and regulations. </w:t>
      </w:r>
    </w:p>
    <w:p w:rsidR="00000000" w:rsidRPr="008A6301" w:rsidP="008A6301">
      <w:pPr>
        <w:pStyle w:val="BodyText"/>
      </w:pPr>
    </w:p>
    <w:p w:rsidR="00000000" w:rsidRPr="008A6301" w:rsidP="009C2450">
      <w:pPr>
        <w:pStyle w:val="BodyText"/>
      </w:pPr>
      <w:r w:rsidRPr="008A6301">
        <w:t>Assessors of this unit must satisfy the requirements for assessors in applicable vocational education and t</w:t>
      </w:r>
      <w:r w:rsidRPr="008A6301">
        <w:t>raining legislation, frameworks and/or standards.</w:t>
      </w:r>
    </w:p>
    <w:p w:rsidR="00000000" w:rsidRPr="008A6301" w:rsidP="008A6301">
      <w:pPr>
        <w:pStyle w:val="Heading1"/>
      </w:pPr>
      <w:bookmarkStart w:id="5" w:name="O_1124111"/>
      <w:bookmarkEnd w:id="5"/>
      <w:r w:rsidRPr="008A6301">
        <w:t>Links</w:t>
      </w:r>
    </w:p>
    <w:p w:rsidR="00000000" w:rsidRPr="008A6301" w:rsidP="009C2450">
      <w:pPr>
        <w:pStyle w:val="BodyText"/>
      </w:pPr>
      <w:r w:rsidRPr="008A63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2C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6301" w:rsidP="008A6301"/>
    <w:sectPr w:rsidSect="008A6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01" w:rsidRPr="009C2450" w:rsidP="009C2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50" w:rsidP="008A6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2450" w:rsidP="008A6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2450" w:rsidP="008A6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301" w:rsidRPr="009C2450" w:rsidP="009C2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50" w:rsidRPr="002D2AF8" w:rsidP="008A6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BSBLEG421 Apply understanding of the Australian legal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C2450" w:rsidP="008A6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509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16B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18D1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301"/>
  </w:style>
  <w:style w:type="character" w:customStyle="1" w:styleId="Heading1Char">
    <w:name w:val="Heading 1 Char"/>
    <w:basedOn w:val="DefaultParagraphFont"/>
    <w:link w:val="Heading1"/>
    <w:rsid w:val="008A6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3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301"/>
    <w:rPr>
      <w:b/>
      <w:spacing w:val="0"/>
    </w:rPr>
  </w:style>
  <w:style w:type="paragraph" w:styleId="ListBullet2">
    <w:name w:val="List Bullet 2"/>
    <w:basedOn w:val="List2"/>
    <w:rsid w:val="008A63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301"/>
    <w:rPr>
      <w:i/>
    </w:rPr>
  </w:style>
  <w:style w:type="paragraph" w:styleId="Caption">
    <w:name w:val="caption"/>
    <w:basedOn w:val="BodyText"/>
    <w:next w:val="Normal"/>
    <w:qFormat/>
    <w:rsid w:val="008A6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301"/>
  </w:style>
  <w:style w:type="paragraph" w:styleId="TableofFigures">
    <w:name w:val="table of figures"/>
    <w:basedOn w:val="Normal"/>
    <w:next w:val="Normal"/>
    <w:semiHidden/>
    <w:rsid w:val="008A6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3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301"/>
    <w:rPr>
      <w:rFonts w:ascii="Wingdings" w:hAnsi="Wingdings"/>
    </w:rPr>
  </w:style>
  <w:style w:type="paragraph" w:customStyle="1" w:styleId="TableHeading">
    <w:name w:val="Table Heading"/>
    <w:basedOn w:val="HeadingBase"/>
    <w:rsid w:val="008A6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301"/>
    <w:rPr>
      <w:color w:val="0033CC"/>
      <w:u w:val="none"/>
    </w:rPr>
  </w:style>
  <w:style w:type="paragraph" w:customStyle="1" w:styleId="BodyTextRight">
    <w:name w:val="Body Text Right"/>
    <w:basedOn w:val="BodyText"/>
    <w:rsid w:val="008A6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3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301"/>
    <w:rPr>
      <w:sz w:val="32"/>
    </w:rPr>
  </w:style>
  <w:style w:type="paragraph" w:customStyle="1" w:styleId="HeadingProcedure">
    <w:name w:val="Heading Procedure"/>
    <w:basedOn w:val="HeadingBase"/>
    <w:next w:val="Normal"/>
    <w:rsid w:val="008A6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301"/>
    <w:pPr>
      <w:spacing w:before="60" w:after="60"/>
    </w:pPr>
  </w:style>
  <w:style w:type="paragraph" w:styleId="ListContinue">
    <w:name w:val="List Continue"/>
    <w:basedOn w:val="List"/>
    <w:rsid w:val="008A6301"/>
    <w:pPr>
      <w:ind w:firstLine="0"/>
    </w:pPr>
  </w:style>
  <w:style w:type="paragraph" w:customStyle="1" w:styleId="ListNote">
    <w:name w:val="List Note"/>
    <w:basedOn w:val="List"/>
    <w:rsid w:val="008A6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301"/>
    <w:rPr>
      <w:rFonts w:ascii="Courier New" w:hAnsi="Courier New"/>
    </w:rPr>
  </w:style>
  <w:style w:type="paragraph" w:customStyle="1" w:styleId="NoteBullet">
    <w:name w:val="Note Bullet"/>
    <w:basedOn w:val="Note"/>
    <w:rsid w:val="008A6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3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301"/>
    <w:rPr>
      <w:b/>
      <w:smallCaps/>
    </w:rPr>
  </w:style>
  <w:style w:type="paragraph" w:customStyle="1" w:styleId="TableListNumber">
    <w:name w:val="Table List Number"/>
    <w:basedOn w:val="ListNumber"/>
    <w:rsid w:val="008A6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301"/>
    <w:pPr>
      <w:numPr>
        <w:numId w:val="9"/>
      </w:numPr>
    </w:pPr>
  </w:style>
  <w:style w:type="paragraph" w:customStyle="1" w:styleId="ListAlpha2">
    <w:name w:val="List Alpha 2"/>
    <w:basedOn w:val="List2"/>
    <w:rsid w:val="008A6301"/>
    <w:pPr>
      <w:numPr>
        <w:numId w:val="8"/>
      </w:numPr>
    </w:pPr>
  </w:style>
  <w:style w:type="paragraph" w:styleId="List2">
    <w:name w:val="List 2"/>
    <w:basedOn w:val="BodyText"/>
    <w:rsid w:val="008A6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3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3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301"/>
    <w:pPr>
      <w:numPr>
        <w:numId w:val="4"/>
      </w:numPr>
    </w:pPr>
  </w:style>
  <w:style w:type="paragraph" w:styleId="ListContinue2">
    <w:name w:val="List Continue 2"/>
    <w:basedOn w:val="List2"/>
    <w:rsid w:val="008A6301"/>
    <w:pPr>
      <w:ind w:firstLine="0"/>
    </w:pPr>
  </w:style>
  <w:style w:type="paragraph" w:styleId="ListContinue3">
    <w:name w:val="List Continue 3"/>
    <w:basedOn w:val="List3"/>
    <w:rsid w:val="008A6301"/>
    <w:pPr>
      <w:ind w:left="1021" w:firstLine="0"/>
    </w:pPr>
  </w:style>
  <w:style w:type="paragraph" w:styleId="ListContinue4">
    <w:name w:val="List Continue 4"/>
    <w:basedOn w:val="List4"/>
    <w:rsid w:val="008A6301"/>
    <w:pPr>
      <w:ind w:firstLine="0"/>
    </w:pPr>
  </w:style>
  <w:style w:type="paragraph" w:styleId="ListContinue5">
    <w:name w:val="List Continue 5"/>
    <w:basedOn w:val="List5"/>
    <w:rsid w:val="008A6301"/>
    <w:pPr>
      <w:ind w:firstLine="0"/>
    </w:pPr>
  </w:style>
  <w:style w:type="paragraph" w:styleId="ListNumber3">
    <w:name w:val="List Number 3"/>
    <w:basedOn w:val="List3"/>
    <w:rsid w:val="008A6301"/>
    <w:pPr>
      <w:numPr>
        <w:numId w:val="5"/>
      </w:numPr>
    </w:pPr>
  </w:style>
  <w:style w:type="paragraph" w:styleId="ListNumber4">
    <w:name w:val="List Number 4"/>
    <w:basedOn w:val="List4"/>
    <w:rsid w:val="008A6301"/>
    <w:pPr>
      <w:numPr>
        <w:numId w:val="6"/>
      </w:numPr>
    </w:pPr>
  </w:style>
  <w:style w:type="paragraph" w:styleId="ListNumber5">
    <w:name w:val="List Number 5"/>
    <w:basedOn w:val="List5"/>
    <w:rsid w:val="008A6301"/>
    <w:pPr>
      <w:numPr>
        <w:numId w:val="7"/>
      </w:numPr>
    </w:pPr>
  </w:style>
  <w:style w:type="paragraph" w:styleId="BlockText">
    <w:name w:val="Block Text"/>
    <w:basedOn w:val="Normal"/>
    <w:rsid w:val="008A6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301"/>
    <w:rPr>
      <w:sz w:val="16"/>
      <w:vertAlign w:val="superscript"/>
    </w:rPr>
  </w:style>
  <w:style w:type="character" w:customStyle="1" w:styleId="Symbols">
    <w:name w:val="Symbols"/>
    <w:basedOn w:val="DefaultParagraphFont"/>
    <w:rsid w:val="008A6301"/>
    <w:rPr>
      <w:rFonts w:ascii="Symbol" w:hAnsi="Symbol"/>
    </w:rPr>
  </w:style>
  <w:style w:type="character" w:customStyle="1" w:styleId="MenuOptions">
    <w:name w:val="Menu Options"/>
    <w:basedOn w:val="DefaultParagraphFont"/>
    <w:rsid w:val="008A6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301"/>
    <w:rPr>
      <w:b/>
    </w:rPr>
  </w:style>
  <w:style w:type="character" w:customStyle="1" w:styleId="Underlined">
    <w:name w:val="Underlined"/>
    <w:basedOn w:val="DefaultParagraphFont"/>
    <w:rsid w:val="008A6301"/>
    <w:rPr>
      <w:u w:val="single"/>
    </w:rPr>
  </w:style>
  <w:style w:type="paragraph" w:customStyle="1" w:styleId="TableBodyTextRight">
    <w:name w:val="Table Body Text Right"/>
    <w:basedOn w:val="TableBodyText"/>
    <w:rsid w:val="008A6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301"/>
    <w:rPr>
      <w:sz w:val="18"/>
    </w:rPr>
  </w:style>
  <w:style w:type="paragraph" w:customStyle="1" w:styleId="BodySmallRight">
    <w:name w:val="Body Small Right"/>
    <w:basedOn w:val="BodyTextRight"/>
    <w:rsid w:val="008A6301"/>
    <w:rPr>
      <w:sz w:val="18"/>
      <w:szCs w:val="18"/>
    </w:rPr>
  </w:style>
  <w:style w:type="paragraph" w:customStyle="1" w:styleId="MarginEdition">
    <w:name w:val="Margin Edition"/>
    <w:basedOn w:val="MarginNote"/>
    <w:rsid w:val="008A6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301"/>
    <w:rPr>
      <w:sz w:val="2"/>
      <w:szCs w:val="2"/>
    </w:rPr>
  </w:style>
  <w:style w:type="character" w:customStyle="1" w:styleId="Small">
    <w:name w:val="Small"/>
    <w:basedOn w:val="DefaultParagraphFont"/>
    <w:rsid w:val="008A6301"/>
    <w:rPr>
      <w:sz w:val="16"/>
    </w:rPr>
  </w:style>
  <w:style w:type="paragraph" w:customStyle="1" w:styleId="WideTable">
    <w:name w:val="Wide Table"/>
    <w:basedOn w:val="Normal"/>
    <w:rsid w:val="008A6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301"/>
  </w:style>
  <w:style w:type="paragraph" w:styleId="Quote">
    <w:name w:val="Quote"/>
    <w:basedOn w:val="Heading1"/>
    <w:link w:val="QuoteChar"/>
    <w:qFormat/>
    <w:rsid w:val="008A6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301"/>
    <w:pPr>
      <w:pageBreakBefore/>
    </w:pPr>
  </w:style>
  <w:style w:type="paragraph" w:customStyle="1" w:styleId="Border">
    <w:name w:val="Border"/>
    <w:basedOn w:val="Normal"/>
    <w:qFormat/>
    <w:rsid w:val="008A6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301"/>
    <w:rPr>
      <w:u w:val="single"/>
    </w:rPr>
  </w:style>
  <w:style w:type="character" w:customStyle="1" w:styleId="BoldandItalics">
    <w:name w:val="Bold and Italics"/>
    <w:qFormat/>
    <w:rsid w:val="008A6301"/>
    <w:rPr>
      <w:b/>
      <w:i/>
      <w:u w:val="none"/>
    </w:rPr>
  </w:style>
  <w:style w:type="paragraph" w:styleId="BalloonText">
    <w:name w:val="Balloon Text"/>
    <w:basedOn w:val="Normal"/>
    <w:link w:val="BalloonTextChar"/>
    <w:rsid w:val="008A6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301"/>
    <w:pPr>
      <w:spacing w:before="0" w:after="0"/>
    </w:pPr>
  </w:style>
  <w:style w:type="paragraph" w:customStyle="1" w:styleId="BodyTextBold">
    <w:name w:val="Body Text Bold"/>
    <w:basedOn w:val="BodyText"/>
    <w:qFormat/>
    <w:rsid w:val="008A6301"/>
    <w:rPr>
      <w:b/>
    </w:rPr>
  </w:style>
  <w:style w:type="character" w:styleId="Hyperlink">
    <w:name w:val="Hyperlink"/>
    <w:basedOn w:val="DefaultParagraphFont"/>
    <w:uiPriority w:val="99"/>
    <w:unhideWhenUsed/>
    <w:rsid w:val="009C2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2260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BSBLEG421 Apply understanding of the Australian legal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2022-01-25T01:21:00Z</dcterms:created>
  <dcterms:modified xsi:type="dcterms:W3CDTF">2022-01-25T01:21:00Z</dcterms:modified>
</cp:coreProperties>
</file>