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E62" w:rsidP="00901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BSBLEG416 Apply the principles of the law of torts</w:t>
      </w:r>
      <w:r>
        <w:fldChar w:fldCharType="end"/>
      </w:r>
    </w:p>
    <w:p w:rsidR="00901E62" w:rsidP="00901E62">
      <w:pPr>
        <w:pStyle w:val="Version"/>
        <w:sectPr w:rsidSect="00C51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28D" w:rsidP="00C5128D">
      <w:pPr>
        <w:pStyle w:val="SuperHeading"/>
      </w:pPr>
      <w:r w:rsidRPr="00C5128D">
        <w:t>BSBLEG416 Apply the principles of the law of torts</w:t>
      </w:r>
    </w:p>
    <w:p w:rsidR="00000000" w:rsidRPr="00C5128D" w:rsidP="00C5128D">
      <w:pPr>
        <w:pStyle w:val="Heading1"/>
      </w:pPr>
      <w:bookmarkStart w:id="1" w:name="O_710632"/>
      <w:bookmarkEnd w:id="1"/>
      <w:r w:rsidRPr="00C51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SpecialBold"/>
              </w:rPr>
              <w:t>Comments</w:t>
            </w:r>
          </w:p>
        </w:tc>
      </w:tr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This version first released with BSB Business Services Training Package Version 1.0.</w:t>
            </w:r>
          </w:p>
        </w:tc>
      </w:tr>
    </w:tbl>
    <w:p w:rsidR="00000000" w:rsidRPr="00C5128D" w:rsidP="00C5128D">
      <w:pPr>
        <w:pStyle w:val="BodyText"/>
      </w:pP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2" w:name="O_710633"/>
      <w:bookmarkEnd w:id="2"/>
      <w:r w:rsidRPr="00C5128D">
        <w:t>Application</w:t>
      </w:r>
    </w:p>
    <w:p w:rsidR="00000000" w:rsidRPr="00C5128D" w:rsidP="00901E62">
      <w:pPr>
        <w:pStyle w:val="BodyText"/>
      </w:pPr>
      <w:r w:rsidRPr="00C5128D">
        <w:t>This unit describes the skills and knowledge required to assess, analyse, and evalu</w:t>
      </w:r>
      <w:r w:rsidRPr="00C5128D">
        <w:t>ate tort law matters, and apply the principles of the law of torts.</w:t>
      </w:r>
    </w:p>
    <w:p w:rsidR="00000000" w:rsidRPr="00C5128D" w:rsidP="00901E62">
      <w:pPr>
        <w:pStyle w:val="BodyText"/>
      </w:pPr>
      <w:r w:rsidRPr="00C5128D">
        <w:t>It applies to individuals who provide administrative support in a range of legal service settings.</w:t>
      </w:r>
    </w:p>
    <w:p w:rsidR="00000000" w:rsidRPr="00C5128D" w:rsidP="00901E62">
      <w:pPr>
        <w:pStyle w:val="BodyText"/>
      </w:pPr>
      <w:r w:rsidRPr="00C5128D">
        <w:t xml:space="preserve">No licensing, legislative or certification requirements apply to this unit at the time </w:t>
      </w:r>
      <w:r w:rsidRPr="00C5128D">
        <w:t>of publication.</w:t>
      </w:r>
    </w:p>
    <w:p w:rsidR="00000000" w:rsidRPr="00C5128D" w:rsidP="00C5128D">
      <w:pPr>
        <w:pStyle w:val="Heading1"/>
      </w:pPr>
      <w:bookmarkStart w:id="3" w:name="O_710636"/>
      <w:bookmarkEnd w:id="3"/>
      <w:r w:rsidRPr="00C5128D">
        <w:t>Unit Sector</w:t>
      </w:r>
    </w:p>
    <w:p w:rsidR="00000000" w:rsidRPr="00C5128D" w:rsidP="00901E62">
      <w:pPr>
        <w:pStyle w:val="BodyText"/>
      </w:pPr>
      <w:r w:rsidRPr="00C5128D">
        <w:t>Administration – Legal Services Administration</w:t>
      </w:r>
    </w:p>
    <w:p w:rsidR="00000000" w:rsidRPr="00C5128D" w:rsidP="00C5128D">
      <w:pPr>
        <w:pStyle w:val="Heading1"/>
      </w:pPr>
      <w:bookmarkStart w:id="4" w:name="O_710637"/>
      <w:bookmarkEnd w:id="4"/>
      <w:r w:rsidRPr="00C512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SpecialBold"/>
              </w:rPr>
              <w:t>PERFORMANCE CRITERIA</w:t>
            </w:r>
          </w:p>
        </w:tc>
      </w:tr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Emphasis"/>
              </w:rPr>
              <w:t>Perf</w:t>
            </w:r>
            <w:r w:rsidRPr="00C5128D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1. Define nature and meaning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1.1 Access sources of legal information on nature and meaning of law of torts</w:t>
            </w:r>
          </w:p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 xml:space="preserve">1.2 Distinguish tort from crime, breach </w:t>
            </w:r>
            <w:r w:rsidRPr="00C5128D">
              <w:t>of contract, or other legal obligations</w:t>
            </w:r>
          </w:p>
        </w:tc>
      </w:tr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2. Identify principles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2.1 Define legal principles in application of law of torts</w:t>
            </w:r>
          </w:p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2.2 Determine key elements of law of torts matters</w:t>
            </w:r>
          </w:p>
        </w:tc>
      </w:tr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 xml:space="preserve">3. Apply relevant </w:t>
            </w:r>
            <w:r w:rsidRPr="00C5128D">
              <w:t>elements of tort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3.1 Assess legal matters relevant to possible torts</w:t>
            </w:r>
          </w:p>
          <w:p w:rsidR="00000000" w:rsidRPr="00C5128D" w:rsidP="00C5128D">
            <w:pPr>
              <w:pStyle w:val="BodyText"/>
            </w:pPr>
            <w:r w:rsidRPr="00C5128D">
              <w:t>3.2 Analyse and evaluate information</w:t>
            </w:r>
          </w:p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3.3 Extract and document information relevant to the particular matter</w:t>
            </w:r>
          </w:p>
        </w:tc>
      </w:tr>
      <w:tr w:rsidTr="00C512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4. Identify remedies for breaches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4.1 Identify circumstances giving rise to lia</w:t>
            </w:r>
            <w:r w:rsidRPr="00C5128D">
              <w:t>bility in law of torts</w:t>
            </w:r>
          </w:p>
          <w:p w:rsidR="00000000" w:rsidRPr="00C5128D" w:rsidP="00C5128D">
            <w:pPr>
              <w:pStyle w:val="BodyText"/>
            </w:pPr>
            <w:r w:rsidRPr="00C5128D">
              <w:t>4.2 Identify and document remedies applicable to breach</w:t>
            </w:r>
          </w:p>
          <w:p w:rsidR="00000000" w:rsidRPr="00C5128D" w:rsidP="00C5128D">
            <w:pPr>
              <w:pStyle w:val="BodyText"/>
            </w:pPr>
            <w:r w:rsidRPr="00C5128D">
              <w:t>4.3 Submit findings to designated person according to organisational policies and procedures</w:t>
            </w:r>
          </w:p>
        </w:tc>
      </w:tr>
    </w:tbl>
    <w:p w:rsidR="00000000" w:rsidRPr="00C5128D" w:rsidP="00C5128D">
      <w:pPr>
        <w:pStyle w:val="BodyText"/>
      </w:pP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5" w:name="O_710638"/>
      <w:bookmarkEnd w:id="5"/>
      <w:r w:rsidRPr="00C5128D">
        <w:t>Foundation Skills</w:t>
      </w:r>
    </w:p>
    <w:p w:rsidR="00000000" w:rsidRPr="00901E62" w:rsidP="00901E62">
      <w:pPr>
        <w:pStyle w:val="BodyText"/>
        <w:rPr>
          <w:i/>
        </w:rPr>
      </w:pPr>
      <w:r w:rsidRPr="00901E62">
        <w:rPr>
          <w:rStyle w:val="Emphasis"/>
        </w:rPr>
        <w:t>This section describes language, literacy, nume</w:t>
      </w:r>
      <w:r w:rsidRPr="00901E62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SpecialBold"/>
              </w:rPr>
              <w:t>Description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1.1, 1.2,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ListBullet"/>
              <w:rPr>
                <w:lang w:val="en-NZ"/>
              </w:rPr>
            </w:pPr>
            <w:r w:rsidRPr="00C5128D">
              <w:t>Identifies, reviews and interprets complex legal text from</w:t>
            </w:r>
            <w:r w:rsidRPr="00C5128D">
              <w:t xml:space="preserve"> a range of sources and determines how content may be applied in application of torts law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ListBullet"/>
              <w:rPr>
                <w:lang w:val="en-NZ"/>
              </w:rPr>
            </w:pPr>
            <w:r w:rsidRPr="00C5128D">
              <w:t>Documents research findings, analyses and evaluations using format, language and structure suitable to audience and environment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1.1, 4.3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ListBullet"/>
            </w:pPr>
            <w:r w:rsidRPr="00C5128D">
              <w:t>Uses questioning and listening techniques to elicit information</w:t>
            </w:r>
          </w:p>
          <w:p w:rsidR="00000000" w:rsidP="00C5128D">
            <w:pPr>
              <w:pStyle w:val="ListBullet"/>
              <w:rPr>
                <w:lang w:val="en-NZ"/>
              </w:rPr>
            </w:pPr>
            <w:r w:rsidRPr="00C5128D">
              <w:t>Presents factual information and recommendations using specific and relevant language and features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ListBullet"/>
              <w:rPr>
                <w:lang w:val="en-NZ"/>
              </w:rPr>
            </w:pPr>
            <w:r w:rsidRPr="00C5128D">
              <w:t>Takes personal responsibility for following organisational policies and procedures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ListBullet"/>
              <w:rPr>
                <w:lang w:val="en-NZ"/>
              </w:rPr>
            </w:pPr>
            <w:r w:rsidRPr="00C5128D">
              <w:t>Selects appropriate form, channel and mode of communication for a specific purpose relevant to own role</w:t>
            </w:r>
          </w:p>
        </w:tc>
      </w:tr>
      <w:tr w:rsidTr="00C51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1.2,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ListBullet"/>
            </w:pPr>
            <w:r w:rsidRPr="00C5128D">
              <w:t>Plans, organises and implements tasks required to achieve organisational outcomes</w:t>
            </w:r>
          </w:p>
          <w:p w:rsidR="00000000" w:rsidRPr="00C5128D" w:rsidP="00C5128D">
            <w:pPr>
              <w:pStyle w:val="ListBullet"/>
            </w:pPr>
            <w:r w:rsidRPr="00C5128D">
              <w:t>Makes a range of critical and non-critical decisions in relatively complex situations, analysing a range of factors to inform decision-making</w:t>
            </w:r>
          </w:p>
          <w:p w:rsidR="00000000" w:rsidRPr="00C5128D" w:rsidP="00C5128D">
            <w:pPr>
              <w:pStyle w:val="ListBullet"/>
            </w:pPr>
            <w:r w:rsidRPr="00C5128D">
              <w:t>Uses formal analytical thinking</w:t>
            </w:r>
            <w:r w:rsidRPr="00C5128D">
              <w:t xml:space="preserve"> techniques to identify issues and generate possible solutions</w:t>
            </w:r>
          </w:p>
        </w:tc>
      </w:tr>
    </w:tbl>
    <w:p w:rsidR="00000000" w:rsidRPr="00C5128D" w:rsidP="00C5128D">
      <w:pPr>
        <w:pStyle w:val="BodyText"/>
      </w:pP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6" w:name="O_710640"/>
      <w:bookmarkEnd w:id="6"/>
      <w:r w:rsidRPr="00C512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Code and title</w:t>
            </w:r>
          </w:p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Code and title</w:t>
            </w:r>
          </w:p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SpecialBold"/>
              </w:rPr>
              <w:t>Equivalence status</w:t>
            </w:r>
          </w:p>
        </w:tc>
      </w:tr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BSBLEG416 Apply the principles of the law of torts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BSBLEG416A Apply the principles of the law of torts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Equivalent unit</w:t>
            </w:r>
          </w:p>
        </w:tc>
      </w:tr>
    </w:tbl>
    <w:p w:rsidR="00000000" w:rsidRPr="00C5128D" w:rsidP="00C5128D">
      <w:pPr>
        <w:pStyle w:val="BodyText"/>
      </w:pP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7" w:name="O_710647"/>
      <w:bookmarkEnd w:id="7"/>
      <w:r w:rsidRPr="00C5128D">
        <w:t>Links</w:t>
      </w:r>
    </w:p>
    <w:p w:rsidR="00000000" w:rsidRPr="00C5128D" w:rsidP="00901E62">
      <w:pPr>
        <w:pStyle w:val="BodyText"/>
      </w:pPr>
      <w:r w:rsidRPr="00C51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8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128D" w:rsidP="00901E62">
      <w:pPr>
        <w:pStyle w:val="BodyText"/>
        <w:sectPr w:rsidSect="00C512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128D" w:rsidP="00C5128D">
      <w:pPr>
        <w:pStyle w:val="SuperHeading"/>
      </w:pPr>
      <w:r w:rsidRPr="00C5128D">
        <w:t xml:space="preserve">Assessment </w:t>
      </w:r>
      <w:r w:rsidRPr="00C5128D">
        <w:t>Requirements for BSBLEG416 Apply the principles of the law of torts</w:t>
      </w:r>
    </w:p>
    <w:p w:rsidR="00000000" w:rsidRPr="00C5128D" w:rsidP="00C5128D">
      <w:pPr>
        <w:pStyle w:val="Heading1"/>
      </w:pPr>
      <w:bookmarkStart w:id="8" w:name="O_710642"/>
      <w:bookmarkEnd w:id="8"/>
      <w:r w:rsidRPr="00C51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rPr>
                <w:rStyle w:val="SpecialBold"/>
              </w:rPr>
              <w:t>Comments</w:t>
            </w:r>
          </w:p>
        </w:tc>
      </w:tr>
      <w:tr w:rsidTr="00C5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8D">
            <w:pPr>
              <w:pStyle w:val="BodyText"/>
              <w:rPr>
                <w:lang w:val="en-NZ"/>
              </w:rPr>
            </w:pPr>
            <w:r w:rsidRPr="00C512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8D" w:rsidP="00C5128D">
            <w:pPr>
              <w:pStyle w:val="BodyText"/>
            </w:pPr>
            <w:r w:rsidRPr="00C5128D">
              <w:t>This version first released with BSB Business Services Training Package Version 1.0.</w:t>
            </w:r>
          </w:p>
        </w:tc>
      </w:tr>
    </w:tbl>
    <w:p w:rsidR="00000000" w:rsidRPr="00C5128D" w:rsidP="00C5128D">
      <w:pPr>
        <w:pStyle w:val="BodyText"/>
      </w:pP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9" w:name="O_710643"/>
      <w:bookmarkEnd w:id="9"/>
      <w:r w:rsidRPr="00C5128D">
        <w:t>Performance</w:t>
      </w:r>
      <w:r w:rsidRPr="00C5128D">
        <w:t xml:space="preserve"> Evidence</w:t>
      </w:r>
    </w:p>
    <w:p w:rsidR="00000000" w:rsidRPr="00C5128D" w:rsidP="00901E62">
      <w:pPr>
        <w:pStyle w:val="BodyText"/>
      </w:pPr>
      <w:r w:rsidRPr="00C5128D">
        <w:t>Evidence of the ability to:</w:t>
      </w:r>
    </w:p>
    <w:p w:rsidR="00000000" w:rsidRPr="00C5128D" w:rsidP="00C5128D">
      <w:pPr>
        <w:pStyle w:val="ListBullet"/>
      </w:pPr>
      <w:r w:rsidRPr="00C5128D">
        <w:t>locate legal information from a range of sources</w:t>
      </w:r>
    </w:p>
    <w:p w:rsidR="00000000" w:rsidRPr="00C5128D" w:rsidP="00C5128D">
      <w:pPr>
        <w:pStyle w:val="ListBullet"/>
      </w:pPr>
      <w:r w:rsidRPr="00C5128D">
        <w:t>document central tenets and applications of torts law</w:t>
      </w:r>
    </w:p>
    <w:p w:rsidR="00000000" w:rsidRPr="00C5128D" w:rsidP="00C5128D">
      <w:pPr>
        <w:pStyle w:val="ListBullet"/>
      </w:pPr>
      <w:r w:rsidRPr="00C5128D">
        <w:t>provide a documented explanation of burden in law of torts.</w:t>
      </w:r>
    </w:p>
    <w:p w:rsidR="00000000" w:rsidRPr="00C5128D" w:rsidP="00C5128D">
      <w:pPr>
        <w:pStyle w:val="BodyText"/>
      </w:pPr>
    </w:p>
    <w:p w:rsidR="00000000" w:rsidRPr="00C5128D" w:rsidP="00901E62">
      <w:pPr>
        <w:pStyle w:val="BodyText"/>
      </w:pPr>
      <w:r w:rsidRPr="00C5128D">
        <w:t>Note: If a specific volume or frequency is not stated</w:t>
      </w:r>
      <w:r w:rsidRPr="00C5128D">
        <w:t>, then evidence must be provided at least once.</w:t>
      </w:r>
    </w:p>
    <w:p w:rsidR="00000000" w:rsidRPr="00C5128D" w:rsidP="00C5128D">
      <w:pPr>
        <w:pStyle w:val="Heading1"/>
      </w:pPr>
      <w:bookmarkStart w:id="10" w:name="O_710644"/>
      <w:bookmarkEnd w:id="10"/>
      <w:r w:rsidRPr="00C5128D">
        <w:t>Knowledge Evidence</w:t>
      </w:r>
    </w:p>
    <w:p w:rsidR="00000000" w:rsidRPr="00C5128D" w:rsidP="00901E62">
      <w:pPr>
        <w:pStyle w:val="BodyText"/>
      </w:pPr>
      <w:r w:rsidRPr="00C5128D">
        <w:t>To complete the unit requirements safely and effectively, the individual must:</w:t>
      </w:r>
    </w:p>
    <w:p w:rsidR="00000000" w:rsidRPr="00C5128D" w:rsidP="00C5128D">
      <w:pPr>
        <w:pStyle w:val="ListBullet"/>
      </w:pPr>
      <w:r w:rsidRPr="00C5128D">
        <w:t>define commonly used legal terminology, institutions and main features of Australian legal s</w:t>
      </w:r>
      <w:r w:rsidRPr="00C5128D">
        <w:t>ystem</w:t>
      </w:r>
    </w:p>
    <w:p w:rsidR="00000000" w:rsidRPr="00C5128D" w:rsidP="00C5128D">
      <w:pPr>
        <w:pStyle w:val="ListBullet"/>
      </w:pPr>
      <w:r w:rsidRPr="00C5128D">
        <w:t>outline methods used to identify appropriate information about sources of Australian law</w:t>
      </w:r>
    </w:p>
    <w:p w:rsidR="00000000" w:rsidRPr="00C5128D" w:rsidP="00C5128D">
      <w:pPr>
        <w:pStyle w:val="ListBullet"/>
      </w:pPr>
      <w:r w:rsidRPr="00C5128D">
        <w:t>identify torts relating to:</w:t>
      </w:r>
    </w:p>
    <w:p w:rsidR="00000000" w:rsidRPr="00C5128D" w:rsidP="00C5128D">
      <w:pPr>
        <w:pStyle w:val="ListBullet2"/>
      </w:pPr>
      <w:r w:rsidRPr="00C5128D">
        <w:t>negligence</w:t>
      </w:r>
    </w:p>
    <w:p w:rsidR="00000000" w:rsidRPr="00C5128D" w:rsidP="00C5128D">
      <w:pPr>
        <w:pStyle w:val="ListBullet2"/>
      </w:pPr>
      <w:r w:rsidRPr="00C5128D">
        <w:t>negligent misrepresentation</w:t>
      </w:r>
    </w:p>
    <w:p w:rsidR="00000000" w:rsidRPr="00C5128D" w:rsidP="00C5128D">
      <w:pPr>
        <w:pStyle w:val="ListBullet2"/>
      </w:pPr>
      <w:r w:rsidRPr="00C5128D">
        <w:t>person, goods and land</w:t>
      </w:r>
    </w:p>
    <w:p w:rsidR="00000000" w:rsidRPr="00C5128D" w:rsidP="00C5128D">
      <w:pPr>
        <w:pStyle w:val="ListBullet"/>
      </w:pPr>
      <w:r w:rsidRPr="00C5128D">
        <w:t>explain meaning of:</w:t>
      </w:r>
    </w:p>
    <w:p w:rsidR="00000000" w:rsidRPr="00C5128D" w:rsidP="00C5128D">
      <w:pPr>
        <w:pStyle w:val="ListBullet2"/>
      </w:pPr>
      <w:r w:rsidRPr="00C5128D">
        <w:t>occupier’s liability</w:t>
      </w:r>
    </w:p>
    <w:p w:rsidR="00000000" w:rsidRPr="00C5128D" w:rsidP="00C5128D">
      <w:pPr>
        <w:pStyle w:val="ListBullet2"/>
      </w:pPr>
      <w:r w:rsidRPr="00C5128D">
        <w:t>vicarious liability</w:t>
      </w:r>
    </w:p>
    <w:p w:rsidR="00000000" w:rsidRPr="00C5128D" w:rsidP="00C5128D">
      <w:pPr>
        <w:pStyle w:val="ListBullet"/>
      </w:pPr>
      <w:r w:rsidRPr="00C5128D">
        <w:t>explain law of defamation.</w:t>
      </w:r>
    </w:p>
    <w:p w:rsidR="00000000" w:rsidRPr="00C5128D" w:rsidP="00C5128D">
      <w:pPr>
        <w:pStyle w:val="AllowPageBreak"/>
      </w:pPr>
    </w:p>
    <w:p w:rsidR="00000000" w:rsidRPr="00C5128D" w:rsidP="00C5128D">
      <w:pPr>
        <w:pStyle w:val="Heading1"/>
      </w:pPr>
      <w:bookmarkStart w:id="11" w:name="O_710645"/>
      <w:bookmarkEnd w:id="11"/>
      <w:r w:rsidRPr="00C5128D">
        <w:t>Assessment Conditions</w:t>
      </w:r>
    </w:p>
    <w:p w:rsidR="00000000" w:rsidRPr="00C5128D" w:rsidP="00901E62">
      <w:pPr>
        <w:pStyle w:val="BodyText"/>
      </w:pPr>
      <w:r w:rsidRPr="00C5128D">
        <w:t>Assessment must be conducted in a safe environment where evidence gathered demonstrates consistent performance of typical activities experienced in the legal services administration field of</w:t>
      </w:r>
      <w:r w:rsidRPr="00C5128D">
        <w:t xml:space="preserve"> work and include access to:</w:t>
      </w:r>
    </w:p>
    <w:p w:rsidR="00000000" w:rsidRPr="00C5128D" w:rsidP="00C5128D">
      <w:pPr>
        <w:pStyle w:val="ListBullet"/>
      </w:pPr>
      <w:r w:rsidRPr="00C5128D">
        <w:t>office equipment and materials</w:t>
      </w:r>
    </w:p>
    <w:p w:rsidR="00000000" w:rsidRPr="00C5128D" w:rsidP="00C5128D">
      <w:pPr>
        <w:pStyle w:val="ListBullet"/>
      </w:pPr>
      <w:r w:rsidRPr="00C5128D">
        <w:t>legislation and regulations relevant to tort law</w:t>
      </w:r>
    </w:p>
    <w:p w:rsidR="00000000" w:rsidRPr="00C5128D" w:rsidP="00C5128D">
      <w:pPr>
        <w:pStyle w:val="ListBullet"/>
      </w:pPr>
      <w:r w:rsidRPr="00C5128D">
        <w:t>sources of information on tort law.</w:t>
      </w:r>
    </w:p>
    <w:p w:rsidR="00000000" w:rsidRPr="00C5128D" w:rsidP="00C5128D">
      <w:pPr>
        <w:pStyle w:val="BodyText"/>
      </w:pPr>
    </w:p>
    <w:p w:rsidR="00000000" w:rsidRPr="00C5128D" w:rsidP="00901E62">
      <w:pPr>
        <w:pStyle w:val="BodyText"/>
      </w:pPr>
      <w:r w:rsidRPr="00C5128D">
        <w:t>Assessors must satisfy NVR/AQTF assessor requirements.</w:t>
      </w:r>
    </w:p>
    <w:p w:rsidR="00000000" w:rsidRPr="00C5128D" w:rsidP="00C5128D">
      <w:pPr>
        <w:pStyle w:val="Heading1"/>
      </w:pPr>
      <w:bookmarkStart w:id="12" w:name="O_710648"/>
      <w:bookmarkEnd w:id="12"/>
      <w:r w:rsidRPr="00C5128D">
        <w:t>Links</w:t>
      </w:r>
    </w:p>
    <w:p w:rsidR="00000000" w:rsidRPr="00C5128D" w:rsidP="00901E62">
      <w:pPr>
        <w:pStyle w:val="BodyText"/>
      </w:pPr>
      <w:r w:rsidRPr="00C51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8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128D" w:rsidP="00C5128D"/>
    <w:sectPr w:rsidSect="00C512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 w:rsidRPr="00901E62" w:rsidP="00901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2" w:rsidP="00C51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E62" w:rsidP="00C51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1E62" w:rsidP="00C512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 w:rsidP="00C51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E62">
      <w:t>Approved</w:t>
    </w:r>
    <w:r w:rsidR="00901E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E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E62">
      <w:rPr>
        <w:noProof/>
      </w:rPr>
      <w:t>4</w:t>
    </w:r>
    <w:r>
      <w:rPr>
        <w:noProof/>
      </w:rPr>
      <w:fldChar w:fldCharType="end"/>
    </w:r>
  </w:p>
  <w:p w:rsidR="00C5128D" w:rsidP="00C51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E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E62">
      <w:t>Future Skills Organisation</w:t>
    </w:r>
    <w:r w:rsidR="00901E62">
      <w:fldChar w:fldCharType="end"/>
    </w:r>
  </w:p>
  <w:p w:rsidR="00C5128D" w:rsidP="00C51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28D" w:rsidRPr="00901E62" w:rsidP="00901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2" w:rsidRPr="002D2AF8" w:rsidP="00C51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BSBLEG416 Apply the principles of the law of torts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E62" w:rsidP="00C512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D" w:rsidRPr="002D2AF8" w:rsidP="00C51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E62">
      <w:t>BSBLEG416 Apply the principles of the law of torts</w:t>
    </w:r>
    <w:r w:rsidR="00901E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E62">
      <w:rPr>
        <w:noProof/>
      </w:rPr>
      <w:t>2 March 2025</w:t>
    </w:r>
    <w:r>
      <w:fldChar w:fldCharType="end"/>
    </w:r>
  </w:p>
  <w:p w:rsidR="00C5128D" w:rsidP="00C51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10B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6F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01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28D"/>
  </w:style>
  <w:style w:type="character" w:customStyle="1" w:styleId="Heading1Char">
    <w:name w:val="Heading 1 Char"/>
    <w:basedOn w:val="DefaultParagraphFont"/>
    <w:link w:val="Heading1"/>
    <w:rsid w:val="00C51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2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28D"/>
    <w:rPr>
      <w:b/>
      <w:spacing w:val="0"/>
    </w:rPr>
  </w:style>
  <w:style w:type="paragraph" w:styleId="ListBullet2">
    <w:name w:val="List Bullet 2"/>
    <w:basedOn w:val="List2"/>
    <w:rsid w:val="00C512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128D"/>
    <w:rPr>
      <w:i/>
    </w:rPr>
  </w:style>
  <w:style w:type="paragraph" w:customStyle="1" w:styleId="SuperHeading">
    <w:name w:val="SuperHeading"/>
    <w:basedOn w:val="Normal"/>
    <w:rsid w:val="00C51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2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28D"/>
  </w:style>
  <w:style w:type="paragraph" w:styleId="TableofFigures">
    <w:name w:val="table of figures"/>
    <w:basedOn w:val="Normal"/>
    <w:next w:val="Normal"/>
    <w:semiHidden/>
    <w:rsid w:val="00C51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2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128D"/>
    <w:rPr>
      <w:rFonts w:ascii="Wingdings" w:hAnsi="Wingdings"/>
    </w:rPr>
  </w:style>
  <w:style w:type="paragraph" w:customStyle="1" w:styleId="TableHeading">
    <w:name w:val="Table Heading"/>
    <w:basedOn w:val="HeadingBase"/>
    <w:rsid w:val="00C51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28D"/>
    <w:rPr>
      <w:color w:val="0033CC"/>
      <w:u w:val="none"/>
    </w:rPr>
  </w:style>
  <w:style w:type="paragraph" w:customStyle="1" w:styleId="BodyTextRight">
    <w:name w:val="Body Text Right"/>
    <w:basedOn w:val="BodyText"/>
    <w:rsid w:val="00C51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2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28D"/>
    <w:rPr>
      <w:sz w:val="32"/>
    </w:rPr>
  </w:style>
  <w:style w:type="paragraph" w:customStyle="1" w:styleId="HeadingProcedure">
    <w:name w:val="Heading Procedure"/>
    <w:basedOn w:val="HeadingBase"/>
    <w:next w:val="Normal"/>
    <w:rsid w:val="00C51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28D"/>
    <w:pPr>
      <w:spacing w:before="60" w:after="60"/>
    </w:pPr>
  </w:style>
  <w:style w:type="paragraph" w:styleId="ListContinue">
    <w:name w:val="List Continue"/>
    <w:basedOn w:val="List"/>
    <w:rsid w:val="00C5128D"/>
    <w:pPr>
      <w:ind w:firstLine="0"/>
    </w:pPr>
  </w:style>
  <w:style w:type="paragraph" w:customStyle="1" w:styleId="ListNote">
    <w:name w:val="List Note"/>
    <w:basedOn w:val="List"/>
    <w:rsid w:val="00C51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28D"/>
    <w:rPr>
      <w:rFonts w:ascii="Courier New" w:hAnsi="Courier New"/>
    </w:rPr>
  </w:style>
  <w:style w:type="paragraph" w:customStyle="1" w:styleId="NoteBullet">
    <w:name w:val="Note Bullet"/>
    <w:basedOn w:val="Note"/>
    <w:rsid w:val="00C51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2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28D"/>
    <w:rPr>
      <w:b/>
      <w:smallCaps/>
    </w:rPr>
  </w:style>
  <w:style w:type="paragraph" w:customStyle="1" w:styleId="TableListNumber">
    <w:name w:val="Table List Number"/>
    <w:basedOn w:val="ListNumber"/>
    <w:rsid w:val="00C51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28D"/>
    <w:pPr>
      <w:numPr>
        <w:numId w:val="9"/>
      </w:numPr>
    </w:pPr>
  </w:style>
  <w:style w:type="paragraph" w:customStyle="1" w:styleId="ListAlpha2">
    <w:name w:val="List Alpha 2"/>
    <w:basedOn w:val="List2"/>
    <w:rsid w:val="00C5128D"/>
    <w:pPr>
      <w:numPr>
        <w:numId w:val="8"/>
      </w:numPr>
    </w:pPr>
  </w:style>
  <w:style w:type="paragraph" w:styleId="List2">
    <w:name w:val="List 2"/>
    <w:basedOn w:val="BodyText"/>
    <w:rsid w:val="00C51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2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2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28D"/>
    <w:pPr>
      <w:numPr>
        <w:numId w:val="4"/>
      </w:numPr>
    </w:pPr>
  </w:style>
  <w:style w:type="paragraph" w:styleId="ListContinue2">
    <w:name w:val="List Continue 2"/>
    <w:basedOn w:val="List2"/>
    <w:rsid w:val="00C5128D"/>
    <w:pPr>
      <w:ind w:firstLine="0"/>
    </w:pPr>
  </w:style>
  <w:style w:type="paragraph" w:styleId="ListContinue3">
    <w:name w:val="List Continue 3"/>
    <w:basedOn w:val="List3"/>
    <w:rsid w:val="00C5128D"/>
    <w:pPr>
      <w:ind w:left="1021" w:firstLine="0"/>
    </w:pPr>
  </w:style>
  <w:style w:type="paragraph" w:styleId="ListContinue4">
    <w:name w:val="List Continue 4"/>
    <w:basedOn w:val="List4"/>
    <w:rsid w:val="00C5128D"/>
    <w:pPr>
      <w:ind w:firstLine="0"/>
    </w:pPr>
  </w:style>
  <w:style w:type="paragraph" w:styleId="ListContinue5">
    <w:name w:val="List Continue 5"/>
    <w:basedOn w:val="List5"/>
    <w:rsid w:val="00C5128D"/>
    <w:pPr>
      <w:ind w:firstLine="0"/>
    </w:pPr>
  </w:style>
  <w:style w:type="paragraph" w:styleId="ListNumber3">
    <w:name w:val="List Number 3"/>
    <w:basedOn w:val="List3"/>
    <w:rsid w:val="00C5128D"/>
    <w:pPr>
      <w:numPr>
        <w:numId w:val="5"/>
      </w:numPr>
    </w:pPr>
  </w:style>
  <w:style w:type="paragraph" w:styleId="ListNumber4">
    <w:name w:val="List Number 4"/>
    <w:basedOn w:val="List4"/>
    <w:rsid w:val="00C5128D"/>
    <w:pPr>
      <w:numPr>
        <w:numId w:val="6"/>
      </w:numPr>
    </w:pPr>
  </w:style>
  <w:style w:type="paragraph" w:styleId="ListNumber5">
    <w:name w:val="List Number 5"/>
    <w:basedOn w:val="List5"/>
    <w:rsid w:val="00C5128D"/>
    <w:pPr>
      <w:numPr>
        <w:numId w:val="7"/>
      </w:numPr>
    </w:pPr>
  </w:style>
  <w:style w:type="paragraph" w:styleId="BlockText">
    <w:name w:val="Block Text"/>
    <w:basedOn w:val="Normal"/>
    <w:rsid w:val="00C51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28D"/>
    <w:rPr>
      <w:sz w:val="16"/>
      <w:vertAlign w:val="superscript"/>
    </w:rPr>
  </w:style>
  <w:style w:type="character" w:customStyle="1" w:styleId="Symbols">
    <w:name w:val="Symbols"/>
    <w:basedOn w:val="DefaultParagraphFont"/>
    <w:rsid w:val="00C5128D"/>
    <w:rPr>
      <w:rFonts w:ascii="Symbol" w:hAnsi="Symbol"/>
    </w:rPr>
  </w:style>
  <w:style w:type="character" w:customStyle="1" w:styleId="MenuOptions">
    <w:name w:val="Menu Options"/>
    <w:basedOn w:val="DefaultParagraphFont"/>
    <w:rsid w:val="00C51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28D"/>
    <w:rPr>
      <w:b/>
    </w:rPr>
  </w:style>
  <w:style w:type="character" w:customStyle="1" w:styleId="Underlined">
    <w:name w:val="Underlined"/>
    <w:basedOn w:val="DefaultParagraphFont"/>
    <w:rsid w:val="00C5128D"/>
    <w:rPr>
      <w:u w:val="single"/>
    </w:rPr>
  </w:style>
  <w:style w:type="paragraph" w:customStyle="1" w:styleId="TableBodyTextRight">
    <w:name w:val="Table Body Text Right"/>
    <w:basedOn w:val="TableBodyText"/>
    <w:rsid w:val="00C51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28D"/>
    <w:rPr>
      <w:sz w:val="18"/>
    </w:rPr>
  </w:style>
  <w:style w:type="paragraph" w:customStyle="1" w:styleId="BodySmallRight">
    <w:name w:val="Body Small Right"/>
    <w:basedOn w:val="BodyTextRight"/>
    <w:rsid w:val="00C5128D"/>
    <w:rPr>
      <w:sz w:val="18"/>
      <w:szCs w:val="18"/>
    </w:rPr>
  </w:style>
  <w:style w:type="paragraph" w:customStyle="1" w:styleId="MarginEdition">
    <w:name w:val="Margin Edition"/>
    <w:basedOn w:val="MarginNote"/>
    <w:rsid w:val="00C51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28D"/>
    <w:rPr>
      <w:sz w:val="2"/>
      <w:szCs w:val="2"/>
    </w:rPr>
  </w:style>
  <w:style w:type="character" w:customStyle="1" w:styleId="Small">
    <w:name w:val="Small"/>
    <w:basedOn w:val="DefaultParagraphFont"/>
    <w:rsid w:val="00C5128D"/>
    <w:rPr>
      <w:sz w:val="16"/>
    </w:rPr>
  </w:style>
  <w:style w:type="paragraph" w:customStyle="1" w:styleId="WideTable">
    <w:name w:val="Wide Table"/>
    <w:basedOn w:val="Normal"/>
    <w:rsid w:val="00C51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28D"/>
  </w:style>
  <w:style w:type="paragraph" w:styleId="Quote">
    <w:name w:val="Quote"/>
    <w:basedOn w:val="Heading1"/>
    <w:link w:val="QuoteChar"/>
    <w:qFormat/>
    <w:rsid w:val="00C51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28D"/>
    <w:pPr>
      <w:pageBreakBefore/>
    </w:pPr>
  </w:style>
  <w:style w:type="paragraph" w:customStyle="1" w:styleId="Border">
    <w:name w:val="Border"/>
    <w:basedOn w:val="Normal"/>
    <w:qFormat/>
    <w:rsid w:val="00C51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28D"/>
    <w:rPr>
      <w:u w:val="single"/>
    </w:rPr>
  </w:style>
  <w:style w:type="character" w:customStyle="1" w:styleId="BoldandItalics">
    <w:name w:val="Bold and Italics"/>
    <w:qFormat/>
    <w:rsid w:val="00C5128D"/>
    <w:rPr>
      <w:b/>
      <w:i/>
      <w:u w:val="none"/>
    </w:rPr>
  </w:style>
  <w:style w:type="paragraph" w:styleId="BalloonText">
    <w:name w:val="Balloon Text"/>
    <w:basedOn w:val="Normal"/>
    <w:link w:val="BalloonTextChar"/>
    <w:rsid w:val="00C51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28D"/>
    <w:pPr>
      <w:spacing w:before="0" w:after="0"/>
    </w:pPr>
  </w:style>
  <w:style w:type="paragraph" w:customStyle="1" w:styleId="BodyTextBold">
    <w:name w:val="Body Text Bold"/>
    <w:basedOn w:val="BodyText"/>
    <w:qFormat/>
    <w:rsid w:val="00C5128D"/>
    <w:rPr>
      <w:b/>
    </w:rPr>
  </w:style>
  <w:style w:type="character" w:styleId="Hyperlink">
    <w:name w:val="Hyperlink"/>
    <w:basedOn w:val="DefaultParagraphFont"/>
    <w:uiPriority w:val="99"/>
    <w:unhideWhenUsed/>
    <w:rsid w:val="00901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4578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BSBLEG416 Apply the principles of the law of torts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