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8E0" w:rsidP="00F73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BSBLEG413 Identify and apply the legal framework</w:t>
      </w:r>
      <w:r>
        <w:fldChar w:fldCharType="end"/>
      </w:r>
    </w:p>
    <w:p w:rsidR="00F738E0" w:rsidP="00F738E0">
      <w:pPr>
        <w:pStyle w:val="Version"/>
        <w:sectPr w:rsidSect="00FB7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B15" w:rsidP="00FB7B15">
      <w:pPr>
        <w:pStyle w:val="SuperHeading"/>
      </w:pPr>
      <w:r w:rsidRPr="00FB7B15">
        <w:t>Assessment Re</w:t>
      </w:r>
      <w:r w:rsidRPr="00FB7B15">
        <w:t>quirements for BSBLEG413 Identify and apply the legal framework</w:t>
      </w:r>
    </w:p>
    <w:p w:rsidR="00000000" w:rsidRPr="00FB7B15" w:rsidP="00FB7B15">
      <w:pPr>
        <w:pStyle w:val="Heading1"/>
      </w:pPr>
      <w:bookmarkStart w:id="1" w:name="O_710509"/>
      <w:bookmarkEnd w:id="1"/>
      <w:r w:rsidRPr="00FB7B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15" w:rsidP="00FB7B15">
            <w:pPr>
              <w:pStyle w:val="BodyText"/>
            </w:pPr>
            <w:r w:rsidRPr="00FB7B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15">
            <w:pPr>
              <w:pStyle w:val="BodyText"/>
              <w:rPr>
                <w:lang w:val="en-NZ"/>
              </w:rPr>
            </w:pPr>
            <w:r w:rsidRPr="00FB7B15">
              <w:rPr>
                <w:rStyle w:val="SpecialBold"/>
              </w:rPr>
              <w:t>Comments</w:t>
            </w:r>
          </w:p>
        </w:tc>
      </w:tr>
      <w:tr w:rsidTr="00FB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15">
            <w:pPr>
              <w:pStyle w:val="BodyText"/>
              <w:rPr>
                <w:lang w:val="en-NZ"/>
              </w:rPr>
            </w:pPr>
            <w:r w:rsidRPr="00FB7B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15" w:rsidP="00FB7B15">
            <w:pPr>
              <w:pStyle w:val="BodyText"/>
            </w:pPr>
            <w:r w:rsidRPr="00FB7B15">
              <w:t>This version first released with BSB Business Services Training Package Version 1.0.</w:t>
            </w:r>
          </w:p>
        </w:tc>
      </w:tr>
    </w:tbl>
    <w:p w:rsidR="00000000" w:rsidRPr="00FB7B15" w:rsidP="00FB7B15">
      <w:pPr>
        <w:pStyle w:val="BodyText"/>
      </w:pPr>
    </w:p>
    <w:p w:rsidR="00000000" w:rsidRPr="00FB7B15" w:rsidP="00FB7B15">
      <w:pPr>
        <w:pStyle w:val="AllowPageBreak"/>
      </w:pPr>
    </w:p>
    <w:p w:rsidR="00000000" w:rsidRPr="00FB7B15" w:rsidP="00FB7B15">
      <w:pPr>
        <w:pStyle w:val="Heading1"/>
      </w:pPr>
      <w:bookmarkStart w:id="2" w:name="O_710510"/>
      <w:bookmarkEnd w:id="2"/>
      <w:r w:rsidRPr="00FB7B15">
        <w:t>Performance Evidence</w:t>
      </w:r>
    </w:p>
    <w:p w:rsidR="00000000" w:rsidRPr="00FB7B15" w:rsidP="00F738E0">
      <w:pPr>
        <w:pStyle w:val="BodyText"/>
      </w:pPr>
      <w:r w:rsidRPr="00FB7B15">
        <w:t>Evidence of the ability to:</w:t>
      </w:r>
    </w:p>
    <w:p w:rsidR="00000000" w:rsidRPr="00FB7B15" w:rsidP="00FB7B15">
      <w:pPr>
        <w:pStyle w:val="ListBullet"/>
      </w:pPr>
      <w:r w:rsidRPr="00FB7B15">
        <w:t>explain differences between Australian law making institutions</w:t>
      </w:r>
    </w:p>
    <w:p w:rsidR="00000000" w:rsidRPr="00FB7B15" w:rsidP="00FB7B15">
      <w:pPr>
        <w:pStyle w:val="ListBullet"/>
      </w:pPr>
      <w:r w:rsidRPr="00FB7B15">
        <w:t>identify appropriate institutions to hear civil versus criminal proceedings</w:t>
      </w:r>
    </w:p>
    <w:p w:rsidR="00000000" w:rsidRPr="00FB7B15" w:rsidP="00FB7B15">
      <w:pPr>
        <w:pStyle w:val="ListBullet"/>
      </w:pPr>
      <w:r w:rsidRPr="00FB7B15">
        <w:t>explain how adversarial system of trial operates</w:t>
      </w:r>
    </w:p>
    <w:p w:rsidR="00000000" w:rsidRPr="00FB7B15" w:rsidP="00FB7B15">
      <w:pPr>
        <w:pStyle w:val="ListBullet"/>
      </w:pPr>
      <w:r w:rsidRPr="00FB7B15">
        <w:t>explain application and outcomes of pri</w:t>
      </w:r>
      <w:r w:rsidRPr="00FB7B15">
        <w:t>nciples of precedent</w:t>
      </w:r>
    </w:p>
    <w:p w:rsidR="00000000" w:rsidRPr="00FB7B15" w:rsidP="00FB7B15">
      <w:pPr>
        <w:pStyle w:val="ListBullet"/>
      </w:pPr>
      <w:r w:rsidRPr="00FB7B15">
        <w:t>read and interpret legislation.</w:t>
      </w:r>
    </w:p>
    <w:p w:rsidR="00000000" w:rsidRPr="00FB7B15" w:rsidP="00FB7B15">
      <w:pPr>
        <w:pStyle w:val="BodyText"/>
      </w:pPr>
    </w:p>
    <w:p w:rsidR="00000000" w:rsidRPr="00FB7B15" w:rsidP="00F738E0">
      <w:pPr>
        <w:pStyle w:val="BodyText"/>
      </w:pPr>
      <w:r w:rsidRPr="00FB7B15">
        <w:t>Note: If a specific volume or frequency is not stated, then evidence must be provided at least once.</w:t>
      </w:r>
    </w:p>
    <w:p w:rsidR="00000000" w:rsidRPr="00FB7B15" w:rsidP="00FB7B15">
      <w:pPr>
        <w:pStyle w:val="Heading1"/>
      </w:pPr>
      <w:bookmarkStart w:id="3" w:name="O_710511"/>
      <w:bookmarkEnd w:id="3"/>
      <w:r w:rsidRPr="00FB7B15">
        <w:t>Knowledge Evidence</w:t>
      </w:r>
    </w:p>
    <w:p w:rsidR="00000000" w:rsidRPr="00FB7B15" w:rsidP="00F738E0">
      <w:pPr>
        <w:pStyle w:val="BodyText"/>
      </w:pPr>
      <w:r w:rsidRPr="00FB7B15">
        <w:t>To complete the unit requirements safely and effect</w:t>
      </w:r>
      <w:r w:rsidRPr="00FB7B15">
        <w:t>ively, the individual must:</w:t>
      </w:r>
    </w:p>
    <w:p w:rsidR="00000000" w:rsidRPr="00FB7B15" w:rsidP="00FB7B15">
      <w:pPr>
        <w:pStyle w:val="ListBullet"/>
      </w:pPr>
      <w:r w:rsidRPr="00FB7B15">
        <w:t>list institutions and main features of the Australian legal system</w:t>
      </w:r>
    </w:p>
    <w:p w:rsidR="00000000" w:rsidRPr="00FB7B15" w:rsidP="00FB7B15">
      <w:pPr>
        <w:pStyle w:val="ListBullet"/>
      </w:pPr>
      <w:r w:rsidRPr="00FB7B15">
        <w:t>identify legal terminology in relation to areas of practice of law and relevant legal processes</w:t>
      </w:r>
    </w:p>
    <w:p w:rsidR="00000000" w:rsidRPr="00FB7B15" w:rsidP="00FB7B15">
      <w:pPr>
        <w:pStyle w:val="ListBullet"/>
      </w:pPr>
      <w:r w:rsidRPr="00FB7B15">
        <w:t>outline methods used to identify appropriate information about s</w:t>
      </w:r>
      <w:r w:rsidRPr="00FB7B15">
        <w:t>ources of Australian law</w:t>
      </w:r>
    </w:p>
    <w:p w:rsidR="00000000" w:rsidRPr="00FB7B15" w:rsidP="00FB7B15">
      <w:pPr>
        <w:pStyle w:val="ListBullet"/>
      </w:pPr>
      <w:r w:rsidRPr="00FB7B15">
        <w:t>list scope of responsibilities in context of legal framework.</w:t>
      </w:r>
    </w:p>
    <w:p w:rsidR="00000000" w:rsidRPr="00FB7B15" w:rsidP="00FB7B15">
      <w:pPr>
        <w:pStyle w:val="AllowPageBreak"/>
      </w:pPr>
    </w:p>
    <w:p w:rsidR="00000000" w:rsidRPr="00FB7B15" w:rsidP="00FB7B15">
      <w:pPr>
        <w:pStyle w:val="Heading1"/>
      </w:pPr>
      <w:bookmarkStart w:id="4" w:name="O_710512"/>
      <w:bookmarkEnd w:id="4"/>
      <w:r w:rsidRPr="00FB7B15">
        <w:t>Assessment Conditions</w:t>
      </w:r>
    </w:p>
    <w:p w:rsidR="00000000" w:rsidRPr="00FB7B15" w:rsidP="00F738E0">
      <w:pPr>
        <w:pStyle w:val="BodyText"/>
      </w:pPr>
      <w:r w:rsidRPr="00FB7B15">
        <w:t>Assessment must be conducted in a safe environment where evidence gathered demonstrates consistent performance of typical activiti</w:t>
      </w:r>
      <w:r w:rsidRPr="00FB7B15">
        <w:t>es experienced in the legal services administration field of work and include access to:</w:t>
      </w:r>
    </w:p>
    <w:p w:rsidR="00000000" w:rsidRPr="00FB7B15" w:rsidP="00FB7B15">
      <w:pPr>
        <w:pStyle w:val="ListBullet"/>
      </w:pPr>
      <w:r w:rsidRPr="00FB7B15">
        <w:t>office equipment and resources</w:t>
      </w:r>
    </w:p>
    <w:p w:rsidR="00000000" w:rsidRPr="00FB7B15" w:rsidP="00FB7B15">
      <w:pPr>
        <w:pStyle w:val="ListBullet"/>
      </w:pPr>
      <w:r w:rsidRPr="00FB7B15">
        <w:t>legislation and regulations relevant to common legal matters</w:t>
      </w:r>
    </w:p>
    <w:p w:rsidR="00000000" w:rsidRPr="00FB7B15" w:rsidP="00FB7B15">
      <w:pPr>
        <w:pStyle w:val="ListBullet"/>
      </w:pPr>
      <w:r w:rsidRPr="00FB7B15">
        <w:t>people with expert knowledge.</w:t>
      </w:r>
    </w:p>
    <w:p w:rsidR="00000000" w:rsidRPr="00FB7B15" w:rsidP="00FB7B15">
      <w:pPr>
        <w:pStyle w:val="BodyText"/>
      </w:pPr>
    </w:p>
    <w:p w:rsidR="00000000" w:rsidRPr="00FB7B15" w:rsidP="00F738E0">
      <w:pPr>
        <w:pStyle w:val="BodyText"/>
      </w:pPr>
      <w:r w:rsidRPr="00FB7B15">
        <w:t>Assessors must satisfy NVR/AQTF assessor re</w:t>
      </w:r>
      <w:r w:rsidRPr="00FB7B15">
        <w:t>quirements.</w:t>
      </w:r>
    </w:p>
    <w:p w:rsidR="00000000" w:rsidRPr="00FB7B15" w:rsidP="00FB7B15">
      <w:pPr>
        <w:pStyle w:val="Heading1"/>
      </w:pPr>
      <w:bookmarkStart w:id="5" w:name="O_710515"/>
      <w:bookmarkEnd w:id="5"/>
      <w:r w:rsidRPr="00FB7B15">
        <w:t>Links</w:t>
      </w:r>
    </w:p>
    <w:p w:rsidR="00000000" w:rsidRPr="00FB7B15" w:rsidP="00F738E0">
      <w:pPr>
        <w:pStyle w:val="BodyText"/>
      </w:pPr>
      <w:r w:rsidRPr="00FB7B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083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7B15" w:rsidP="00FB7B15"/>
    <w:sectPr w:rsidSect="00FB7B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15" w:rsidRPr="00F738E0" w:rsidP="00F73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E0" w:rsidP="00FB7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38E0" w:rsidP="00FB7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38E0" w:rsidP="00FB7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B15" w:rsidRPr="00F738E0" w:rsidP="00F738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E0" w:rsidRPr="002D2AF8" w:rsidP="00FB7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BSBLEG413 Identify and apply the legal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738E0" w:rsidP="00FB7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A6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D49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B15"/>
  </w:style>
  <w:style w:type="character" w:customStyle="1" w:styleId="Heading1Char">
    <w:name w:val="Heading 1 Char"/>
    <w:basedOn w:val="DefaultParagraphFont"/>
    <w:link w:val="Heading1"/>
    <w:rsid w:val="00FB7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B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B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B15"/>
    <w:rPr>
      <w:b/>
      <w:spacing w:val="0"/>
    </w:rPr>
  </w:style>
  <w:style w:type="paragraph" w:customStyle="1" w:styleId="SuperHeading">
    <w:name w:val="SuperHeading"/>
    <w:basedOn w:val="Normal"/>
    <w:rsid w:val="00FB7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B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B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B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B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B15"/>
    <w:rPr>
      <w:i/>
    </w:rPr>
  </w:style>
  <w:style w:type="paragraph" w:styleId="Caption">
    <w:name w:val="caption"/>
    <w:basedOn w:val="BodyText"/>
    <w:next w:val="Normal"/>
    <w:qFormat/>
    <w:rsid w:val="00FB7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B15"/>
  </w:style>
  <w:style w:type="paragraph" w:styleId="TableofFigures">
    <w:name w:val="table of figures"/>
    <w:basedOn w:val="Normal"/>
    <w:next w:val="Normal"/>
    <w:semiHidden/>
    <w:rsid w:val="00FB7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B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7B15"/>
    <w:rPr>
      <w:rFonts w:ascii="Wingdings" w:hAnsi="Wingdings"/>
    </w:rPr>
  </w:style>
  <w:style w:type="paragraph" w:customStyle="1" w:styleId="TableHeading">
    <w:name w:val="Table Heading"/>
    <w:basedOn w:val="HeadingBase"/>
    <w:rsid w:val="00FB7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B15"/>
    <w:rPr>
      <w:color w:val="0033CC"/>
      <w:u w:val="none"/>
    </w:rPr>
  </w:style>
  <w:style w:type="paragraph" w:customStyle="1" w:styleId="BodyTextRight">
    <w:name w:val="Body Text Right"/>
    <w:basedOn w:val="BodyText"/>
    <w:rsid w:val="00FB7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B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B15"/>
    <w:rPr>
      <w:sz w:val="32"/>
    </w:rPr>
  </w:style>
  <w:style w:type="paragraph" w:customStyle="1" w:styleId="HeadingProcedure">
    <w:name w:val="Heading Procedure"/>
    <w:basedOn w:val="HeadingBase"/>
    <w:next w:val="Normal"/>
    <w:rsid w:val="00FB7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B15"/>
    <w:pPr>
      <w:spacing w:before="60" w:after="60"/>
    </w:pPr>
  </w:style>
  <w:style w:type="paragraph" w:styleId="ListContinue">
    <w:name w:val="List Continue"/>
    <w:basedOn w:val="List"/>
    <w:rsid w:val="00FB7B15"/>
    <w:pPr>
      <w:ind w:firstLine="0"/>
    </w:pPr>
  </w:style>
  <w:style w:type="paragraph" w:customStyle="1" w:styleId="ListNote">
    <w:name w:val="List Note"/>
    <w:basedOn w:val="List"/>
    <w:rsid w:val="00FB7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B15"/>
    <w:rPr>
      <w:rFonts w:ascii="Courier New" w:hAnsi="Courier New"/>
    </w:rPr>
  </w:style>
  <w:style w:type="paragraph" w:customStyle="1" w:styleId="NoteBullet">
    <w:name w:val="Note Bullet"/>
    <w:basedOn w:val="Note"/>
    <w:rsid w:val="00FB7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B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B15"/>
    <w:rPr>
      <w:b/>
      <w:smallCaps/>
    </w:rPr>
  </w:style>
  <w:style w:type="paragraph" w:customStyle="1" w:styleId="TableListNumber">
    <w:name w:val="Table List Number"/>
    <w:basedOn w:val="ListNumber"/>
    <w:rsid w:val="00FB7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B15"/>
    <w:pPr>
      <w:numPr>
        <w:numId w:val="8"/>
      </w:numPr>
    </w:pPr>
  </w:style>
  <w:style w:type="paragraph" w:customStyle="1" w:styleId="ListAlpha2">
    <w:name w:val="List Alpha 2"/>
    <w:basedOn w:val="List2"/>
    <w:rsid w:val="00FB7B15"/>
    <w:pPr>
      <w:numPr>
        <w:numId w:val="7"/>
      </w:numPr>
    </w:pPr>
  </w:style>
  <w:style w:type="paragraph" w:styleId="List2">
    <w:name w:val="List 2"/>
    <w:basedOn w:val="BodyText"/>
    <w:rsid w:val="00FB7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B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B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B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B15"/>
    <w:pPr>
      <w:numPr>
        <w:numId w:val="3"/>
      </w:numPr>
    </w:pPr>
  </w:style>
  <w:style w:type="paragraph" w:styleId="ListContinue2">
    <w:name w:val="List Continue 2"/>
    <w:basedOn w:val="List2"/>
    <w:rsid w:val="00FB7B15"/>
    <w:pPr>
      <w:ind w:firstLine="0"/>
    </w:pPr>
  </w:style>
  <w:style w:type="paragraph" w:styleId="ListContinue3">
    <w:name w:val="List Continue 3"/>
    <w:basedOn w:val="List3"/>
    <w:rsid w:val="00FB7B15"/>
    <w:pPr>
      <w:ind w:left="1021" w:firstLine="0"/>
    </w:pPr>
  </w:style>
  <w:style w:type="paragraph" w:styleId="ListContinue4">
    <w:name w:val="List Continue 4"/>
    <w:basedOn w:val="List4"/>
    <w:rsid w:val="00FB7B15"/>
    <w:pPr>
      <w:ind w:firstLine="0"/>
    </w:pPr>
  </w:style>
  <w:style w:type="paragraph" w:styleId="ListContinue5">
    <w:name w:val="List Continue 5"/>
    <w:basedOn w:val="List5"/>
    <w:rsid w:val="00FB7B15"/>
    <w:pPr>
      <w:ind w:firstLine="0"/>
    </w:pPr>
  </w:style>
  <w:style w:type="paragraph" w:styleId="ListNumber3">
    <w:name w:val="List Number 3"/>
    <w:basedOn w:val="List3"/>
    <w:rsid w:val="00FB7B15"/>
    <w:pPr>
      <w:numPr>
        <w:numId w:val="4"/>
      </w:numPr>
    </w:pPr>
  </w:style>
  <w:style w:type="paragraph" w:styleId="ListNumber4">
    <w:name w:val="List Number 4"/>
    <w:basedOn w:val="List4"/>
    <w:rsid w:val="00FB7B15"/>
    <w:pPr>
      <w:numPr>
        <w:numId w:val="5"/>
      </w:numPr>
    </w:pPr>
  </w:style>
  <w:style w:type="paragraph" w:styleId="ListNumber5">
    <w:name w:val="List Number 5"/>
    <w:basedOn w:val="List5"/>
    <w:rsid w:val="00FB7B15"/>
    <w:pPr>
      <w:numPr>
        <w:numId w:val="6"/>
      </w:numPr>
    </w:pPr>
  </w:style>
  <w:style w:type="paragraph" w:styleId="BlockText">
    <w:name w:val="Block Text"/>
    <w:basedOn w:val="Normal"/>
    <w:rsid w:val="00FB7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B15"/>
    <w:rPr>
      <w:sz w:val="16"/>
      <w:vertAlign w:val="superscript"/>
    </w:rPr>
  </w:style>
  <w:style w:type="character" w:customStyle="1" w:styleId="Symbols">
    <w:name w:val="Symbols"/>
    <w:basedOn w:val="DefaultParagraphFont"/>
    <w:rsid w:val="00FB7B15"/>
    <w:rPr>
      <w:rFonts w:ascii="Symbol" w:hAnsi="Symbol"/>
    </w:rPr>
  </w:style>
  <w:style w:type="character" w:customStyle="1" w:styleId="MenuOptions">
    <w:name w:val="Menu Options"/>
    <w:basedOn w:val="DefaultParagraphFont"/>
    <w:rsid w:val="00FB7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B15"/>
    <w:rPr>
      <w:b/>
    </w:rPr>
  </w:style>
  <w:style w:type="character" w:customStyle="1" w:styleId="Underlined">
    <w:name w:val="Underlined"/>
    <w:basedOn w:val="DefaultParagraphFont"/>
    <w:rsid w:val="00FB7B15"/>
    <w:rPr>
      <w:u w:val="single"/>
    </w:rPr>
  </w:style>
  <w:style w:type="paragraph" w:customStyle="1" w:styleId="TableBodyTextRight">
    <w:name w:val="Table Body Text Right"/>
    <w:basedOn w:val="TableBodyText"/>
    <w:rsid w:val="00FB7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B15"/>
    <w:rPr>
      <w:sz w:val="18"/>
    </w:rPr>
  </w:style>
  <w:style w:type="paragraph" w:customStyle="1" w:styleId="BodySmallRight">
    <w:name w:val="Body Small Right"/>
    <w:basedOn w:val="BodyTextRight"/>
    <w:rsid w:val="00FB7B15"/>
    <w:rPr>
      <w:sz w:val="18"/>
      <w:szCs w:val="18"/>
    </w:rPr>
  </w:style>
  <w:style w:type="paragraph" w:customStyle="1" w:styleId="MarginEdition">
    <w:name w:val="Margin Edition"/>
    <w:basedOn w:val="MarginNote"/>
    <w:rsid w:val="00FB7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B15"/>
    <w:rPr>
      <w:sz w:val="2"/>
      <w:szCs w:val="2"/>
    </w:rPr>
  </w:style>
  <w:style w:type="character" w:customStyle="1" w:styleId="Small">
    <w:name w:val="Small"/>
    <w:basedOn w:val="DefaultParagraphFont"/>
    <w:rsid w:val="00FB7B15"/>
    <w:rPr>
      <w:sz w:val="16"/>
    </w:rPr>
  </w:style>
  <w:style w:type="paragraph" w:customStyle="1" w:styleId="WideTable">
    <w:name w:val="Wide Table"/>
    <w:basedOn w:val="Normal"/>
    <w:rsid w:val="00FB7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B15"/>
  </w:style>
  <w:style w:type="paragraph" w:styleId="Quote">
    <w:name w:val="Quote"/>
    <w:basedOn w:val="Heading1"/>
    <w:link w:val="QuoteChar"/>
    <w:qFormat/>
    <w:rsid w:val="00FB7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B15"/>
    <w:pPr>
      <w:pageBreakBefore/>
    </w:pPr>
  </w:style>
  <w:style w:type="paragraph" w:customStyle="1" w:styleId="Border">
    <w:name w:val="Border"/>
    <w:basedOn w:val="Normal"/>
    <w:qFormat/>
    <w:rsid w:val="00FB7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B15"/>
    <w:rPr>
      <w:u w:val="single"/>
    </w:rPr>
  </w:style>
  <w:style w:type="character" w:customStyle="1" w:styleId="BoldandItalics">
    <w:name w:val="Bold and Italics"/>
    <w:qFormat/>
    <w:rsid w:val="00FB7B15"/>
    <w:rPr>
      <w:b/>
      <w:i/>
      <w:u w:val="none"/>
    </w:rPr>
  </w:style>
  <w:style w:type="paragraph" w:styleId="BalloonText">
    <w:name w:val="Balloon Text"/>
    <w:basedOn w:val="Normal"/>
    <w:link w:val="BalloonTextChar"/>
    <w:rsid w:val="00FB7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B15"/>
    <w:pPr>
      <w:spacing w:before="0" w:after="0"/>
    </w:pPr>
  </w:style>
  <w:style w:type="paragraph" w:customStyle="1" w:styleId="BodyTextBold">
    <w:name w:val="Body Text Bold"/>
    <w:basedOn w:val="BodyText"/>
    <w:qFormat/>
    <w:rsid w:val="00FB7B15"/>
    <w:rPr>
      <w:b/>
    </w:rPr>
  </w:style>
  <w:style w:type="character" w:styleId="Hyperlink">
    <w:name w:val="Hyperlink"/>
    <w:basedOn w:val="DefaultParagraphFont"/>
    <w:uiPriority w:val="99"/>
    <w:unhideWhenUsed/>
    <w:rsid w:val="00F73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1643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BSBLEG413 Identify and apply the legal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