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070" w:rsidP="00FE0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BSBGOV504 Monitor organisational finances</w:t>
      </w:r>
      <w:r>
        <w:fldChar w:fldCharType="end"/>
      </w:r>
    </w:p>
    <w:p w:rsidR="00FE0070" w:rsidP="00FE0070">
      <w:pPr>
        <w:pStyle w:val="Version"/>
        <w:sectPr w:rsidSect="00250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915" w:rsidP="00250915">
      <w:pPr>
        <w:pStyle w:val="SuperHeading"/>
      </w:pPr>
      <w:r w:rsidRPr="00250915">
        <w:t>BSBGOV504 Monitor organisational finances</w:t>
      </w:r>
    </w:p>
    <w:p w:rsidR="00000000" w:rsidRPr="00250915" w:rsidP="00250915">
      <w:pPr>
        <w:pStyle w:val="Heading1"/>
      </w:pPr>
      <w:bookmarkStart w:id="1" w:name="O_764136"/>
      <w:bookmarkEnd w:id="1"/>
      <w:r w:rsidRPr="00250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250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rPr>
                <w:rStyle w:val="SpecialBold"/>
              </w:rPr>
              <w:t>Comments</w:t>
            </w:r>
          </w:p>
        </w:tc>
      </w:tr>
      <w:tr w:rsidTr="00250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This version first released with BSB Business Services Training Package Version 2.0.</w:t>
            </w:r>
          </w:p>
        </w:tc>
      </w:tr>
    </w:tbl>
    <w:p w:rsidR="00000000" w:rsidRPr="00250915" w:rsidP="00250915">
      <w:pPr>
        <w:pStyle w:val="BodyText"/>
      </w:pPr>
    </w:p>
    <w:p w:rsidR="00000000" w:rsidRPr="00250915" w:rsidP="00250915">
      <w:pPr>
        <w:pStyle w:val="AllowPageBreak"/>
      </w:pPr>
    </w:p>
    <w:p w:rsidR="00000000" w:rsidRPr="00250915" w:rsidP="00250915">
      <w:pPr>
        <w:pStyle w:val="Heading1"/>
      </w:pPr>
      <w:bookmarkStart w:id="2" w:name="O_764137"/>
      <w:bookmarkEnd w:id="2"/>
      <w:r w:rsidRPr="00250915">
        <w:t>Application</w:t>
      </w:r>
    </w:p>
    <w:p w:rsidR="00000000" w:rsidRPr="00250915" w:rsidP="00FE0070">
      <w:pPr>
        <w:pStyle w:val="BodyText"/>
      </w:pPr>
      <w:r w:rsidRPr="00250915">
        <w:t>This unit describes the skills and knowledge required for board or committee members to mai</w:t>
      </w:r>
      <w:r w:rsidRPr="00250915">
        <w:t>ntain effective organisational financial accountability systems in order to monitor organisational finances.</w:t>
      </w:r>
    </w:p>
    <w:p w:rsidR="00000000" w:rsidRPr="00250915" w:rsidP="00FE0070">
      <w:pPr>
        <w:pStyle w:val="BodyText"/>
      </w:pPr>
      <w:r w:rsidRPr="00250915">
        <w:t>It applies to members of committees or boards of governance.</w:t>
      </w:r>
    </w:p>
    <w:p w:rsidR="00000000" w:rsidRPr="00250915" w:rsidP="00FE0070">
      <w:pPr>
        <w:pStyle w:val="BodyText"/>
      </w:pPr>
      <w:r w:rsidRPr="00250915">
        <w:t>No licensing, legislative or certification requirements apply to this unit at the ti</w:t>
      </w:r>
      <w:r w:rsidRPr="00250915">
        <w:t>me of publication.</w:t>
      </w:r>
    </w:p>
    <w:p w:rsidR="00000000" w:rsidRPr="00250915" w:rsidP="00250915">
      <w:pPr>
        <w:pStyle w:val="Heading1"/>
      </w:pPr>
      <w:bookmarkStart w:id="3" w:name="O_764140"/>
      <w:bookmarkEnd w:id="3"/>
      <w:r w:rsidRPr="00250915">
        <w:t>Unit Sector</w:t>
      </w:r>
    </w:p>
    <w:p w:rsidR="00000000" w:rsidRPr="00250915" w:rsidP="00FE0070">
      <w:pPr>
        <w:pStyle w:val="BodyText"/>
      </w:pPr>
      <w:r w:rsidRPr="00250915">
        <w:t>Regulation, Licensing and Risk – Governance</w:t>
      </w:r>
    </w:p>
    <w:p w:rsidR="00000000" w:rsidRPr="00250915" w:rsidP="00250915">
      <w:pPr>
        <w:pStyle w:val="Heading1"/>
      </w:pPr>
      <w:bookmarkStart w:id="4" w:name="O_764141"/>
      <w:bookmarkEnd w:id="4"/>
      <w:r w:rsidRPr="0025091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rPr>
                <w:rStyle w:val="SpecialBold"/>
              </w:rPr>
              <w:t>PERFORMANCE CRITERIA</w:t>
            </w:r>
          </w:p>
        </w:tc>
      </w:tr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1. Review organisational financial management processes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1.1 Document respective financial management responsibilities of the board or committee, and managemen</w:t>
            </w:r>
            <w:r w:rsidRPr="00250915">
              <w:t>t</w:t>
            </w:r>
          </w:p>
          <w:p w:rsidR="00000000" w:rsidRPr="00250915" w:rsidP="00250915">
            <w:pPr>
              <w:pStyle w:val="BodyText"/>
            </w:pPr>
            <w:r w:rsidRPr="00250915">
              <w:t>1.2 Explain legal responsibilities of individual board members and the board as a whole to the committee or board</w:t>
            </w:r>
          </w:p>
          <w:p w:rsidR="00000000" w:rsidRPr="00250915" w:rsidP="00250915">
            <w:pPr>
              <w:pStyle w:val="BodyText"/>
            </w:pPr>
            <w:r w:rsidRPr="00250915">
              <w:t xml:space="preserve">1.3 Determine financial information required by the board or committee from management </w:t>
            </w:r>
          </w:p>
          <w:p w:rsidR="00000000" w:rsidRPr="00250915" w:rsidP="00250915">
            <w:pPr>
              <w:pStyle w:val="BodyText"/>
            </w:pPr>
            <w:r w:rsidRPr="00250915">
              <w:t>1.4 Identify the statutory requirements of the board</w:t>
            </w:r>
            <w:r w:rsidRPr="00250915">
              <w:t xml:space="preserve"> or the committee</w:t>
            </w:r>
          </w:p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1.5 Seek advice on suitable financial management systems that will enable reporting against the organisation</w:t>
            </w:r>
            <w:r>
              <w:t>’</w:t>
            </w:r>
            <w:r w:rsidRPr="00250915">
              <w:t xml:space="preserve">s overall financial health. </w:t>
            </w:r>
          </w:p>
        </w:tc>
      </w:tr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2. Apply financial management processes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2.1 Access appropriate policies and procedures to open and/or operate necessary bank accounts</w:t>
            </w:r>
          </w:p>
          <w:p w:rsidR="00000000" w:rsidRPr="00250915" w:rsidP="00250915">
            <w:pPr>
              <w:pStyle w:val="BodyText"/>
            </w:pPr>
            <w:r w:rsidRPr="00250915">
              <w:t>2.2 Identify approved signatories for the bank accounts</w:t>
            </w:r>
          </w:p>
          <w:p w:rsidR="00000000" w:rsidRPr="00250915" w:rsidP="00250915">
            <w:pPr>
              <w:pStyle w:val="BodyText"/>
            </w:pPr>
            <w:r w:rsidRPr="00250915">
              <w:t>2.3 Access finance procedures and reporting requirements specified by organisational stakeholders or fundi</w:t>
            </w:r>
            <w:r w:rsidRPr="00250915">
              <w:t>ng bodies, and check that requirements for finance documentation are met</w:t>
            </w:r>
          </w:p>
          <w:p w:rsidR="00000000" w:rsidRPr="00250915" w:rsidP="00250915">
            <w:pPr>
              <w:pStyle w:val="BodyText"/>
            </w:pPr>
            <w:r w:rsidRPr="00250915">
              <w:t xml:space="preserve">2.4 Review timelines to ensure financial statements are completed within the timeframe required by relevant corporate authorities, organisational stakeholders and/or funding bodies </w:t>
            </w:r>
          </w:p>
          <w:p w:rsidR="00000000" w:rsidRPr="00250915" w:rsidP="00250915">
            <w:pPr>
              <w:pStyle w:val="BodyText"/>
            </w:pPr>
            <w:r w:rsidRPr="00250915">
              <w:t>2</w:t>
            </w:r>
            <w:r w:rsidRPr="00250915">
              <w:t>.5 Review documentation for authority and delegation between the board or committee and management for the management of finances</w:t>
            </w:r>
          </w:p>
          <w:p w:rsidR="00000000" w:rsidRPr="00250915" w:rsidP="00250915">
            <w:pPr>
              <w:pStyle w:val="BodyText"/>
            </w:pPr>
            <w:r w:rsidRPr="00250915">
              <w:t>2.6 Ensure statutory requirements with regard to financial management are followed</w:t>
            </w:r>
          </w:p>
          <w:p w:rsidR="00000000" w:rsidRPr="00250915" w:rsidP="00250915">
            <w:pPr>
              <w:pStyle w:val="BodyText"/>
            </w:pPr>
            <w:r w:rsidRPr="00250915">
              <w:t>2.7 Review policies and procedures to ensur</w:t>
            </w:r>
            <w:r w:rsidRPr="00250915">
              <w:t>e they provide checks and balances to prevent, identify and deal with fraud</w:t>
            </w:r>
          </w:p>
          <w:p w:rsidR="00000000" w:rsidRPr="00250915" w:rsidP="00250915">
            <w:pPr>
              <w:pStyle w:val="BodyText"/>
            </w:pPr>
            <w:r w:rsidRPr="00250915">
              <w:t xml:space="preserve">2.8 Review organisational procedures and documentation for receiving and expending funds   </w:t>
            </w:r>
          </w:p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2.9 Review process for financial reporting against organisational budget and ensure esta</w:t>
            </w:r>
            <w:r w:rsidRPr="00250915">
              <w:t xml:space="preserve">blished procedures and maintained by management  </w:t>
            </w:r>
          </w:p>
        </w:tc>
      </w:tr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3. Meet financial reporting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3.1 Ensure financial information is made available to members  as specified in the constitution</w:t>
            </w:r>
          </w:p>
          <w:p w:rsidR="00000000" w:rsidRPr="00250915" w:rsidP="00250915">
            <w:pPr>
              <w:pStyle w:val="BodyText"/>
            </w:pPr>
            <w:r w:rsidRPr="00250915">
              <w:t>3.2 Facilitate the clear presentation of financial information at m</w:t>
            </w:r>
            <w:r w:rsidRPr="00250915">
              <w:t xml:space="preserve">eetings </w:t>
            </w:r>
          </w:p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3.3 Identify the type and content of financial information that can be made publicly available</w:t>
            </w:r>
          </w:p>
        </w:tc>
      </w:tr>
      <w:tr w:rsidTr="0025091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 4. Monitor organisational expenditure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 xml:space="preserve">4.1 Review and evaluate organisational budget and financial statements to ensure they meet requirements </w:t>
            </w:r>
          </w:p>
          <w:p w:rsidR="00000000" w:rsidRPr="00250915" w:rsidP="00250915">
            <w:pPr>
              <w:pStyle w:val="BodyText"/>
            </w:pPr>
            <w:r w:rsidRPr="00250915">
              <w:t>4.2 Co</w:t>
            </w:r>
            <w:r w:rsidRPr="00250915">
              <w:t>mpare income and expenditure to budget and previous periods and identify and investigate discrepancies</w:t>
            </w:r>
          </w:p>
          <w:p w:rsidR="00000000" w:rsidRPr="00250915" w:rsidP="00250915">
            <w:pPr>
              <w:pStyle w:val="BodyText"/>
            </w:pPr>
            <w:r w:rsidRPr="00250915">
              <w:t>4.3 Discuss achievement and variances to the budget in committee or board meetings</w:t>
            </w:r>
          </w:p>
          <w:p w:rsidR="00000000" w:rsidRPr="00250915" w:rsidP="00250915">
            <w:pPr>
              <w:pStyle w:val="BodyText"/>
            </w:pPr>
            <w:r w:rsidRPr="00250915">
              <w:t>4.4 Discuss the danger of being insolvent with board or committee memb</w:t>
            </w:r>
            <w:r w:rsidRPr="00250915">
              <w:t xml:space="preserve">ers to ensure they understand their legal obligation not to </w:t>
            </w:r>
            <w:r w:rsidRPr="00250915">
              <w:t xml:space="preserve">trade while insolvent </w:t>
            </w:r>
          </w:p>
          <w:p w:rsidR="00000000" w:rsidRPr="00250915" w:rsidP="00250915">
            <w:pPr>
              <w:pStyle w:val="BodyText"/>
            </w:pPr>
            <w:r w:rsidRPr="00250915">
              <w:t>4.5 Document recommendations for action or variances</w:t>
            </w:r>
          </w:p>
        </w:tc>
      </w:tr>
    </w:tbl>
    <w:p w:rsidR="00000000" w:rsidRPr="00250915" w:rsidP="00250915">
      <w:pPr>
        <w:pStyle w:val="BodyText"/>
      </w:pPr>
    </w:p>
    <w:p w:rsidR="00000000" w:rsidRPr="00250915" w:rsidP="00250915">
      <w:pPr>
        <w:pStyle w:val="AllowPageBreak"/>
      </w:pPr>
    </w:p>
    <w:p w:rsidR="00000000" w:rsidRPr="00250915" w:rsidP="00250915">
      <w:pPr>
        <w:pStyle w:val="Heading1"/>
      </w:pPr>
      <w:bookmarkStart w:id="5" w:name="O_764142"/>
      <w:bookmarkEnd w:id="5"/>
      <w:r w:rsidRPr="00250915">
        <w:t>Foundation Skills</w:t>
      </w:r>
    </w:p>
    <w:p w:rsidR="00000000" w:rsidRPr="00FE0070" w:rsidP="00FE0070">
      <w:pPr>
        <w:pStyle w:val="BodyText"/>
        <w:rPr>
          <w:i/>
        </w:rPr>
      </w:pPr>
      <w:r w:rsidRPr="00FE00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Performance</w:t>
            </w:r>
          </w:p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rPr>
                <w:rStyle w:val="SpecialBold"/>
              </w:rPr>
              <w:t>Description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1.2, 1.3, 2.1, 2.3-2.7, 3.3, 4.1,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>Evaluate</w:t>
            </w:r>
            <w:r w:rsidRPr="00250915">
              <w:t xml:space="preserve">s and integrates facts to construct meaning from a range of organisational documents 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 xml:space="preserve">Numeracy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1.4, 2.8, 3.1-3.3, 4.1-4.3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 xml:space="preserve">Works in a group to assess organisational financial issues 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1.1, 4.4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>Uses clear, specific and industry-related terminology to update finance-related policy and procedures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1.4, 2.8, 3.2, 4.3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ListBullet"/>
            </w:pPr>
            <w:r w:rsidRPr="00250915">
              <w:t xml:space="preserve">Uses active listening and questioning skills to confirm understanding for requirements </w:t>
            </w:r>
          </w:p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>Refers to or presents info</w:t>
            </w:r>
            <w:r w:rsidRPr="00250915">
              <w:t>rmation relating to organisational finances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1.1, 1.2, 2.1-2.8, 3.1, 3.3,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 xml:space="preserve">Understands the nature and purpose of own role and associated responsibilities and </w:t>
            </w:r>
            <w:r w:rsidRPr="00250915">
              <w:t xml:space="preserve">recognises and follows implicit and explicit organisational policies and procedures 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1.4, 2.8, 3.1,3.2, 4.3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ListBullet"/>
              <w:rPr>
                <w:lang w:val="en-NZ"/>
              </w:rPr>
            </w:pPr>
            <w:r w:rsidRPr="00250915">
              <w:t>Recognises importance of taking audience, purpose and contextual factors into account when making decisions about what to com</w:t>
            </w:r>
            <w:r w:rsidRPr="00250915">
              <w:t xml:space="preserve">municate with whom, why and how 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1.1, 1.2, 2.1-2.8,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ListBullet"/>
            </w:pPr>
            <w:r w:rsidRPr="00250915">
              <w:t>Takes responsibility for planning and organising own workload, identifying ways of sequencing and combining elements for greater efficiency and considering how to respond to in</w:t>
            </w:r>
            <w:r w:rsidRPr="00250915">
              <w:t>put of others</w:t>
            </w:r>
          </w:p>
          <w:p w:rsidR="00000000" w:rsidRPr="00250915" w:rsidP="00250915">
            <w:pPr>
              <w:pStyle w:val="ListBullet"/>
            </w:pPr>
            <w:r w:rsidRPr="00250915">
              <w:t>Actively contributes to group decision-making when required</w:t>
            </w:r>
          </w:p>
        </w:tc>
      </w:tr>
    </w:tbl>
    <w:p w:rsidR="00000000" w:rsidRPr="00250915" w:rsidP="00250915">
      <w:pPr>
        <w:pStyle w:val="BodyText"/>
      </w:pPr>
    </w:p>
    <w:p w:rsidR="00000000" w:rsidRPr="00250915" w:rsidP="00250915">
      <w:pPr>
        <w:pStyle w:val="AllowPageBreak"/>
      </w:pPr>
    </w:p>
    <w:p w:rsidR="00000000" w:rsidRPr="00250915" w:rsidP="00250915">
      <w:pPr>
        <w:pStyle w:val="Heading1"/>
      </w:pPr>
      <w:bookmarkStart w:id="6" w:name="O_764143"/>
      <w:bookmarkEnd w:id="6"/>
      <w:r w:rsidRPr="00250915">
        <w:t>Range of Conditions</w:t>
      </w:r>
    </w:p>
    <w:p w:rsidR="00000000" w:rsidRPr="00250915" w:rsidP="00FE0070">
      <w:pPr>
        <w:pStyle w:val="BodyText"/>
      </w:pPr>
      <w:r w:rsidRPr="00250915">
        <w:t>This section specifies different work environments and conditions that may affect performance. Essential operating conditions that may be pre</w:t>
      </w:r>
      <w:r w:rsidRPr="00250915">
        <w:t>sent (depending on the work situation, needs of the candidate, accessibility of the item, and local industry and regional contexts) are included.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0"/>
        <w:gridCol w:w="6330"/>
      </w:tblGrid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Suitable financial management systems must include: 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 xml:space="preserve">the use of financial ratios as a heuristic for financial </w:t>
            </w:r>
            <w:r w:rsidRPr="00250915">
              <w:t xml:space="preserve">health </w:t>
            </w:r>
          </w:p>
          <w:p w:rsidR="00000000" w:rsidRPr="00250915" w:rsidP="00250915">
            <w:pPr>
              <w:pStyle w:val="BodyText"/>
            </w:pPr>
            <w:r w:rsidRPr="00250915">
              <w:t xml:space="preserve">resilience </w:t>
            </w:r>
          </w:p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solvency</w:t>
            </w:r>
          </w:p>
        </w:tc>
      </w:tr>
      <w:tr w:rsidTr="002509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 xml:space="preserve">Suitable financial reports must include: 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balance sheet</w:t>
            </w:r>
          </w:p>
          <w:p w:rsidR="00000000" w:rsidRPr="00250915" w:rsidP="00250915">
            <w:pPr>
              <w:pStyle w:val="BodyText"/>
            </w:pPr>
            <w:r w:rsidRPr="00250915">
              <w:t>cash flow</w:t>
            </w:r>
          </w:p>
          <w:p w:rsidR="00000000" w:rsidRPr="00250915" w:rsidP="00250915">
            <w:pPr>
              <w:pStyle w:val="BodyText"/>
            </w:pPr>
            <w:r w:rsidRPr="00250915">
              <w:t>profit and loss statement</w:t>
            </w:r>
          </w:p>
          <w:p w:rsidR="00000000" w:rsidRPr="00250915" w:rsidP="00250915">
            <w:pPr>
              <w:pStyle w:val="BodyText"/>
            </w:pPr>
            <w:r w:rsidRPr="00250915">
              <w:t>written report</w:t>
            </w:r>
          </w:p>
        </w:tc>
      </w:tr>
    </w:tbl>
    <w:p w:rsidR="00000000" w:rsidRPr="00250915" w:rsidP="00250915">
      <w:pPr>
        <w:pStyle w:val="BodyText"/>
      </w:pPr>
    </w:p>
    <w:p w:rsidR="00000000" w:rsidRPr="00250915" w:rsidP="00250915">
      <w:pPr>
        <w:pStyle w:val="AllowPageBreak"/>
      </w:pPr>
    </w:p>
    <w:p w:rsidR="00000000" w:rsidRPr="00250915" w:rsidP="00250915">
      <w:pPr>
        <w:pStyle w:val="Heading1"/>
      </w:pPr>
      <w:bookmarkStart w:id="7" w:name="O_764144"/>
      <w:bookmarkEnd w:id="7"/>
      <w:r w:rsidRPr="002509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160"/>
      </w:tblGrid>
      <w:tr w:rsidTr="00250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 xml:space="preserve">Code and title </w:t>
            </w:r>
          </w:p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Code and title</w:t>
            </w:r>
          </w:p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rPr>
                <w:rStyle w:val="SpecialBold"/>
              </w:rPr>
              <w:t>Eq</w:t>
            </w:r>
            <w:r w:rsidRPr="00250915">
              <w:rPr>
                <w:rStyle w:val="SpecialBold"/>
              </w:rPr>
              <w:t>uivalence status</w:t>
            </w:r>
          </w:p>
        </w:tc>
      </w:tr>
      <w:tr w:rsidTr="00250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BSBGOV504 Monitor organisational finances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915">
            <w:pPr>
              <w:pStyle w:val="BodyText"/>
              <w:rPr>
                <w:lang w:val="en-NZ"/>
              </w:rPr>
            </w:pPr>
            <w:r w:rsidRPr="00250915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915" w:rsidP="00250915">
            <w:pPr>
              <w:pStyle w:val="BodyText"/>
            </w:pPr>
            <w:r w:rsidRPr="00250915">
              <w:t>No equivalent unit</w:t>
            </w:r>
          </w:p>
        </w:tc>
      </w:tr>
    </w:tbl>
    <w:p w:rsidR="00000000" w:rsidRPr="00250915" w:rsidP="00250915">
      <w:pPr>
        <w:pStyle w:val="BodyText"/>
      </w:pPr>
    </w:p>
    <w:p w:rsidR="00000000" w:rsidRPr="00250915" w:rsidP="00250915">
      <w:pPr>
        <w:pStyle w:val="AllowPageBreak"/>
      </w:pPr>
    </w:p>
    <w:p w:rsidR="00000000" w:rsidRPr="00250915" w:rsidP="00250915">
      <w:pPr>
        <w:pStyle w:val="Heading1"/>
      </w:pPr>
      <w:bookmarkStart w:id="8" w:name="O_764151"/>
      <w:bookmarkEnd w:id="8"/>
      <w:r w:rsidRPr="00250915">
        <w:t>Links</w:t>
      </w:r>
    </w:p>
    <w:p w:rsidR="00000000" w:rsidRPr="00250915" w:rsidP="00FE0070">
      <w:pPr>
        <w:pStyle w:val="BodyText"/>
      </w:pPr>
      <w:r w:rsidRPr="002509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77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0915" w:rsidP="00250915"/>
    <w:sectPr w:rsidSect="002509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5" w:rsidRPr="00FE0070" w:rsidP="00FE0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70" w:rsidP="00250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070" w:rsidP="00250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070" w:rsidP="00250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915" w:rsidRPr="00FE0070" w:rsidP="00FE0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70" w:rsidRPr="002D2AF8" w:rsidP="00250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BSBGOV504 Monitor organisational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E0070" w:rsidP="00250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A2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522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915"/>
  </w:style>
  <w:style w:type="character" w:customStyle="1" w:styleId="Heading1Char">
    <w:name w:val="Heading 1 Char"/>
    <w:basedOn w:val="DefaultParagraphFont"/>
    <w:link w:val="Heading1"/>
    <w:rsid w:val="00250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9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915"/>
    <w:rPr>
      <w:b/>
      <w:spacing w:val="0"/>
    </w:rPr>
  </w:style>
  <w:style w:type="character" w:styleId="Emphasis">
    <w:name w:val="Emphasis"/>
    <w:basedOn w:val="DefaultParagraphFont"/>
    <w:qFormat/>
    <w:rsid w:val="00250915"/>
    <w:rPr>
      <w:i/>
    </w:rPr>
  </w:style>
  <w:style w:type="paragraph" w:customStyle="1" w:styleId="SuperHeading">
    <w:name w:val="SuperHeading"/>
    <w:basedOn w:val="Normal"/>
    <w:rsid w:val="00250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9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915"/>
  </w:style>
  <w:style w:type="paragraph" w:styleId="TableofFigures">
    <w:name w:val="table of figures"/>
    <w:basedOn w:val="Normal"/>
    <w:next w:val="Normal"/>
    <w:semiHidden/>
    <w:rsid w:val="00250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9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0915"/>
    <w:rPr>
      <w:rFonts w:ascii="Wingdings" w:hAnsi="Wingdings"/>
    </w:rPr>
  </w:style>
  <w:style w:type="paragraph" w:customStyle="1" w:styleId="TableHeading">
    <w:name w:val="Table Heading"/>
    <w:basedOn w:val="HeadingBase"/>
    <w:rsid w:val="00250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915"/>
    <w:rPr>
      <w:color w:val="0033CC"/>
      <w:u w:val="none"/>
    </w:rPr>
  </w:style>
  <w:style w:type="paragraph" w:customStyle="1" w:styleId="BodyTextRight">
    <w:name w:val="Body Text Right"/>
    <w:basedOn w:val="BodyText"/>
    <w:rsid w:val="00250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9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915"/>
    <w:rPr>
      <w:sz w:val="32"/>
    </w:rPr>
  </w:style>
  <w:style w:type="paragraph" w:customStyle="1" w:styleId="HeadingProcedure">
    <w:name w:val="Heading Procedure"/>
    <w:basedOn w:val="HeadingBase"/>
    <w:next w:val="Normal"/>
    <w:rsid w:val="00250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915"/>
    <w:pPr>
      <w:spacing w:before="60" w:after="60"/>
    </w:pPr>
  </w:style>
  <w:style w:type="paragraph" w:styleId="ListContinue">
    <w:name w:val="List Continue"/>
    <w:basedOn w:val="List"/>
    <w:rsid w:val="00250915"/>
    <w:pPr>
      <w:ind w:firstLine="0"/>
    </w:pPr>
  </w:style>
  <w:style w:type="paragraph" w:customStyle="1" w:styleId="ListNote">
    <w:name w:val="List Note"/>
    <w:basedOn w:val="List"/>
    <w:rsid w:val="00250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915"/>
    <w:rPr>
      <w:rFonts w:ascii="Courier New" w:hAnsi="Courier New"/>
    </w:rPr>
  </w:style>
  <w:style w:type="paragraph" w:customStyle="1" w:styleId="NoteBullet">
    <w:name w:val="Note Bullet"/>
    <w:basedOn w:val="Note"/>
    <w:rsid w:val="00250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9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0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915"/>
    <w:rPr>
      <w:b/>
      <w:smallCaps/>
    </w:rPr>
  </w:style>
  <w:style w:type="paragraph" w:customStyle="1" w:styleId="TableListNumber">
    <w:name w:val="Table List Number"/>
    <w:basedOn w:val="ListNumber"/>
    <w:rsid w:val="00250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915"/>
    <w:pPr>
      <w:numPr>
        <w:numId w:val="8"/>
      </w:numPr>
    </w:pPr>
  </w:style>
  <w:style w:type="paragraph" w:customStyle="1" w:styleId="ListAlpha2">
    <w:name w:val="List Alpha 2"/>
    <w:basedOn w:val="List2"/>
    <w:rsid w:val="00250915"/>
    <w:pPr>
      <w:numPr>
        <w:numId w:val="7"/>
      </w:numPr>
    </w:pPr>
  </w:style>
  <w:style w:type="paragraph" w:styleId="List2">
    <w:name w:val="List 2"/>
    <w:basedOn w:val="BodyText"/>
    <w:rsid w:val="00250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9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9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0915"/>
    <w:pPr>
      <w:numPr>
        <w:numId w:val="3"/>
      </w:numPr>
    </w:pPr>
  </w:style>
  <w:style w:type="paragraph" w:styleId="ListContinue2">
    <w:name w:val="List Continue 2"/>
    <w:basedOn w:val="List2"/>
    <w:rsid w:val="00250915"/>
    <w:pPr>
      <w:ind w:firstLine="0"/>
    </w:pPr>
  </w:style>
  <w:style w:type="paragraph" w:styleId="ListContinue3">
    <w:name w:val="List Continue 3"/>
    <w:basedOn w:val="List3"/>
    <w:rsid w:val="00250915"/>
    <w:pPr>
      <w:ind w:left="1021" w:firstLine="0"/>
    </w:pPr>
  </w:style>
  <w:style w:type="paragraph" w:styleId="ListContinue4">
    <w:name w:val="List Continue 4"/>
    <w:basedOn w:val="List4"/>
    <w:rsid w:val="00250915"/>
    <w:pPr>
      <w:ind w:firstLine="0"/>
    </w:pPr>
  </w:style>
  <w:style w:type="paragraph" w:styleId="ListContinue5">
    <w:name w:val="List Continue 5"/>
    <w:basedOn w:val="List5"/>
    <w:rsid w:val="00250915"/>
    <w:pPr>
      <w:ind w:firstLine="0"/>
    </w:pPr>
  </w:style>
  <w:style w:type="paragraph" w:styleId="ListNumber3">
    <w:name w:val="List Number 3"/>
    <w:basedOn w:val="List3"/>
    <w:rsid w:val="00250915"/>
    <w:pPr>
      <w:numPr>
        <w:numId w:val="4"/>
      </w:numPr>
    </w:pPr>
  </w:style>
  <w:style w:type="paragraph" w:styleId="ListNumber4">
    <w:name w:val="List Number 4"/>
    <w:basedOn w:val="List4"/>
    <w:rsid w:val="00250915"/>
    <w:pPr>
      <w:numPr>
        <w:numId w:val="5"/>
      </w:numPr>
    </w:pPr>
  </w:style>
  <w:style w:type="paragraph" w:styleId="ListNumber5">
    <w:name w:val="List Number 5"/>
    <w:basedOn w:val="List5"/>
    <w:rsid w:val="00250915"/>
    <w:pPr>
      <w:numPr>
        <w:numId w:val="6"/>
      </w:numPr>
    </w:pPr>
  </w:style>
  <w:style w:type="paragraph" w:styleId="BlockText">
    <w:name w:val="Block Text"/>
    <w:basedOn w:val="Normal"/>
    <w:rsid w:val="00250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915"/>
    <w:rPr>
      <w:sz w:val="16"/>
      <w:vertAlign w:val="superscript"/>
    </w:rPr>
  </w:style>
  <w:style w:type="character" w:customStyle="1" w:styleId="Symbols">
    <w:name w:val="Symbols"/>
    <w:basedOn w:val="DefaultParagraphFont"/>
    <w:rsid w:val="00250915"/>
    <w:rPr>
      <w:rFonts w:ascii="Symbol" w:hAnsi="Symbol"/>
    </w:rPr>
  </w:style>
  <w:style w:type="character" w:customStyle="1" w:styleId="MenuOptions">
    <w:name w:val="Menu Options"/>
    <w:basedOn w:val="DefaultParagraphFont"/>
    <w:rsid w:val="00250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915"/>
    <w:rPr>
      <w:b/>
    </w:rPr>
  </w:style>
  <w:style w:type="character" w:customStyle="1" w:styleId="Underlined">
    <w:name w:val="Underlined"/>
    <w:basedOn w:val="DefaultParagraphFont"/>
    <w:rsid w:val="00250915"/>
    <w:rPr>
      <w:u w:val="single"/>
    </w:rPr>
  </w:style>
  <w:style w:type="paragraph" w:customStyle="1" w:styleId="TableBodyTextRight">
    <w:name w:val="Table Body Text Right"/>
    <w:basedOn w:val="TableBodyText"/>
    <w:rsid w:val="00250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915"/>
    <w:rPr>
      <w:sz w:val="18"/>
    </w:rPr>
  </w:style>
  <w:style w:type="paragraph" w:customStyle="1" w:styleId="BodySmallRight">
    <w:name w:val="Body Small Right"/>
    <w:basedOn w:val="BodyTextRight"/>
    <w:rsid w:val="00250915"/>
    <w:rPr>
      <w:sz w:val="18"/>
      <w:szCs w:val="18"/>
    </w:rPr>
  </w:style>
  <w:style w:type="paragraph" w:customStyle="1" w:styleId="MarginEdition">
    <w:name w:val="Margin Edition"/>
    <w:basedOn w:val="MarginNote"/>
    <w:rsid w:val="00250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915"/>
    <w:rPr>
      <w:sz w:val="2"/>
      <w:szCs w:val="2"/>
    </w:rPr>
  </w:style>
  <w:style w:type="character" w:customStyle="1" w:styleId="Small">
    <w:name w:val="Small"/>
    <w:basedOn w:val="DefaultParagraphFont"/>
    <w:rsid w:val="00250915"/>
    <w:rPr>
      <w:sz w:val="16"/>
    </w:rPr>
  </w:style>
  <w:style w:type="paragraph" w:customStyle="1" w:styleId="WideTable">
    <w:name w:val="Wide Table"/>
    <w:basedOn w:val="Normal"/>
    <w:rsid w:val="00250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915"/>
  </w:style>
  <w:style w:type="paragraph" w:styleId="Quote">
    <w:name w:val="Quote"/>
    <w:basedOn w:val="Heading1"/>
    <w:link w:val="QuoteChar"/>
    <w:qFormat/>
    <w:rsid w:val="00250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915"/>
    <w:pPr>
      <w:pageBreakBefore/>
    </w:pPr>
  </w:style>
  <w:style w:type="paragraph" w:customStyle="1" w:styleId="Border">
    <w:name w:val="Border"/>
    <w:basedOn w:val="Normal"/>
    <w:qFormat/>
    <w:rsid w:val="00250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915"/>
    <w:rPr>
      <w:u w:val="single"/>
    </w:rPr>
  </w:style>
  <w:style w:type="character" w:customStyle="1" w:styleId="BoldandItalics">
    <w:name w:val="Bold and Italics"/>
    <w:qFormat/>
    <w:rsid w:val="00250915"/>
    <w:rPr>
      <w:b/>
      <w:i/>
      <w:u w:val="none"/>
    </w:rPr>
  </w:style>
  <w:style w:type="paragraph" w:styleId="BalloonText">
    <w:name w:val="Balloon Text"/>
    <w:basedOn w:val="Normal"/>
    <w:link w:val="BalloonTextChar"/>
    <w:rsid w:val="00250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915"/>
    <w:pPr>
      <w:spacing w:before="0" w:after="0"/>
    </w:pPr>
  </w:style>
  <w:style w:type="paragraph" w:customStyle="1" w:styleId="BodyTextBold">
    <w:name w:val="Body Text Bold"/>
    <w:basedOn w:val="BodyText"/>
    <w:qFormat/>
    <w:rsid w:val="00250915"/>
    <w:rPr>
      <w:b/>
    </w:rPr>
  </w:style>
  <w:style w:type="character" w:styleId="Hyperlink">
    <w:name w:val="Hyperlink"/>
    <w:basedOn w:val="DefaultParagraphFont"/>
    <w:uiPriority w:val="99"/>
    <w:unhideWhenUsed/>
    <w:rsid w:val="00FE0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5208</Characters>
  <Application>Microsoft Office Word</Application>
  <DocSecurity>0</DocSecurity>
  <Lines>192</Lines>
  <Paragraphs>115</Paragraphs>
  <ScaleCrop>false</ScaleCrop>
  <Company>Author-it Software Corporation Ltd.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BSBGOV504 Monitor organisational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2020-07-07T08:53:00Z</dcterms:created>
  <dcterms:modified xsi:type="dcterms:W3CDTF">2020-07-07T08:53:00Z</dcterms:modified>
</cp:coreProperties>
</file>