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67A" w:rsidP="00594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BSBFRA505 Manage closure of a franchise</w:t>
      </w:r>
      <w:r>
        <w:fldChar w:fldCharType="end"/>
      </w:r>
    </w:p>
    <w:p w:rsidR="0059467A" w:rsidP="0059467A">
      <w:pPr>
        <w:pStyle w:val="Version"/>
        <w:sectPr w:rsidSect="00AB3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AE3" w:rsidP="00AB3AE3">
      <w:pPr>
        <w:pStyle w:val="SuperHeading"/>
      </w:pPr>
      <w:r w:rsidRPr="00AB3AE3">
        <w:t>BSBFRA505 Manage closure of a franchise</w:t>
      </w:r>
    </w:p>
    <w:p w:rsidR="00000000" w:rsidRPr="00AB3AE3" w:rsidP="00AB3AE3">
      <w:pPr>
        <w:pStyle w:val="Heading1"/>
      </w:pPr>
      <w:bookmarkStart w:id="1" w:name="O_703023"/>
      <w:bookmarkEnd w:id="1"/>
      <w:r w:rsidRPr="00AB3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SpecialBold"/>
              </w:rPr>
              <w:t>Comments</w:t>
            </w:r>
          </w:p>
        </w:tc>
      </w:tr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This version first released with BSB Business Services Training Package Version 1.0.</w:t>
            </w:r>
          </w:p>
        </w:tc>
      </w:tr>
    </w:tbl>
    <w:p w:rsidR="00000000" w:rsidRPr="00AB3AE3" w:rsidP="00AB3AE3">
      <w:pPr>
        <w:pStyle w:val="BodyText"/>
      </w:pP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2" w:name="O_703024"/>
      <w:bookmarkEnd w:id="2"/>
      <w:r w:rsidRPr="00AB3AE3">
        <w:t>Application</w:t>
      </w:r>
    </w:p>
    <w:p w:rsidR="00000000" w:rsidRPr="00AB3AE3" w:rsidP="0059467A">
      <w:pPr>
        <w:pStyle w:val="BodyText"/>
      </w:pPr>
      <w:r w:rsidRPr="00AB3AE3">
        <w:t xml:space="preserve">This unit describes the skills and knowledge required to manage the closure of a franchise </w:t>
      </w:r>
      <w:r w:rsidRPr="00AB3AE3">
        <w:t>or to transfer it to a new franchisee, or to take action to prevent a closure being executed.</w:t>
      </w:r>
    </w:p>
    <w:p w:rsidR="00000000" w:rsidRPr="00AB3AE3" w:rsidP="0059467A">
      <w:pPr>
        <w:pStyle w:val="BodyText"/>
      </w:pPr>
      <w:r w:rsidRPr="00AB3AE3">
        <w:t>It applies to individuals with a well-established, sound theoretical knowledge base in franchising who are proficient in using a range of specialised technical a</w:t>
      </w:r>
      <w:r w:rsidRPr="00AB3AE3">
        <w:t>nd managerial techniques to undertake the closure of a franchise or transfer to a new franchisee.</w:t>
      </w:r>
    </w:p>
    <w:p w:rsidR="00000000" w:rsidRPr="00AB3AE3" w:rsidP="0059467A">
      <w:pPr>
        <w:pStyle w:val="BodyText"/>
      </w:pPr>
      <w:r w:rsidRPr="00AB3AE3">
        <w:t>No licensing, legislative, regulatory or certification requirements apply to this unit at the time of publication.</w:t>
      </w:r>
    </w:p>
    <w:p w:rsidR="00000000" w:rsidRPr="00AB3AE3" w:rsidP="00AB3AE3">
      <w:pPr>
        <w:pStyle w:val="Heading1"/>
      </w:pPr>
      <w:bookmarkStart w:id="3" w:name="O_703027"/>
      <w:bookmarkEnd w:id="3"/>
      <w:r w:rsidRPr="00AB3AE3">
        <w:t>Unit Sector</w:t>
      </w:r>
    </w:p>
    <w:p w:rsidR="00000000" w:rsidRPr="00AB3AE3" w:rsidP="0059467A">
      <w:pPr>
        <w:pStyle w:val="BodyText"/>
      </w:pPr>
      <w:r w:rsidRPr="00AB3AE3">
        <w:t>Management an</w:t>
      </w:r>
      <w:r w:rsidRPr="00AB3AE3">
        <w:t>d Leadership – Franchising</w:t>
      </w:r>
    </w:p>
    <w:p w:rsidR="00000000" w:rsidRPr="00AB3AE3" w:rsidP="00AB3AE3">
      <w:pPr>
        <w:pStyle w:val="Heading1"/>
      </w:pPr>
      <w:bookmarkStart w:id="4" w:name="O_703028"/>
      <w:bookmarkEnd w:id="4"/>
      <w:r w:rsidRPr="00AB3A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SpecialBold"/>
              </w:rPr>
              <w:t>PERFORMANCE CRITERIA</w:t>
            </w:r>
          </w:p>
        </w:tc>
      </w:tr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1 Investigate and implement alternatives to closure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1.1 Discuss, document and analyse reasons for closure with relevant stakeholders</w:t>
            </w:r>
          </w:p>
          <w:p w:rsidR="00000000" w:rsidRPr="00AB3AE3" w:rsidP="00AB3AE3">
            <w:pPr>
              <w:pStyle w:val="BodyText"/>
            </w:pPr>
            <w:r w:rsidRPr="00AB3AE3">
              <w:t>1.2 Use lessons learned from previous franchise closures and potential franchise closures to arrive at alternative strategi</w:t>
            </w:r>
            <w:r w:rsidRPr="00AB3AE3">
              <w:t>es</w:t>
            </w:r>
          </w:p>
          <w:p w:rsidR="00000000" w:rsidRPr="00AB3AE3" w:rsidP="00AB3AE3">
            <w:pPr>
              <w:pStyle w:val="BodyText"/>
            </w:pPr>
            <w:r w:rsidRPr="00AB3AE3">
              <w:t>1.3 Research and negotiate alternative strategies to closure with franchisee and relevant third parties</w:t>
            </w:r>
          </w:p>
          <w:p w:rsidR="00000000" w:rsidRPr="00AB3AE3" w:rsidP="00AB3AE3">
            <w:pPr>
              <w:pStyle w:val="BodyText"/>
            </w:pPr>
            <w:r w:rsidRPr="00AB3AE3">
              <w:t>1.4 Assess feasibility of transferring franchise to new franchisee</w:t>
            </w:r>
          </w:p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1.5 Implement, where feasible, alternative arrangements to closure including trans</w:t>
            </w:r>
            <w:r w:rsidRPr="00AB3AE3">
              <w:t>fer</w:t>
            </w:r>
          </w:p>
        </w:tc>
      </w:tr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2 Determine roles and responsibilities in closure or transfer of franchisee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2.1 Determine roles and responsibilities of all parties in closure or transfer in line with the Franchising Code of Conduct</w:t>
            </w:r>
          </w:p>
          <w:p w:rsidR="00000000" w:rsidRPr="00AB3AE3" w:rsidP="00AB3AE3">
            <w:pPr>
              <w:pStyle w:val="BodyText"/>
            </w:pPr>
            <w:r w:rsidRPr="00AB3AE3">
              <w:t>2.2 Negotiate process for effecting closure or transfer with relevant stakeholders and document in the form of a plan</w:t>
            </w:r>
          </w:p>
          <w:p w:rsidR="00000000" w:rsidRPr="00AB3AE3" w:rsidP="00AB3AE3">
            <w:pPr>
              <w:pStyle w:val="BodyText"/>
            </w:pPr>
            <w:r w:rsidRPr="00AB3AE3">
              <w:t>2.3 Allocate responsibilities for effecting closure or transfer</w:t>
            </w:r>
          </w:p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2.4 Negotiate closing date or transfer date for franchise with relevant st</w:t>
            </w:r>
            <w:r w:rsidRPr="00AB3AE3">
              <w:t>akeholders</w:t>
            </w:r>
          </w:p>
        </w:tc>
      </w:tr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3 Implement plan for closure or transfer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3.1 Communicate closing date or transfer date for franchise to relevant stakeholders</w:t>
            </w:r>
          </w:p>
          <w:p w:rsidR="00000000" w:rsidRPr="00AB3AE3" w:rsidP="00AB3AE3">
            <w:pPr>
              <w:pStyle w:val="BodyText"/>
            </w:pPr>
            <w:r w:rsidRPr="00AB3AE3">
              <w:t>3.2 Carry out disposal of assets according to plan or transfer them to new franchisee</w:t>
            </w:r>
          </w:p>
          <w:p w:rsidR="00000000" w:rsidRPr="00AB3AE3" w:rsidP="00AB3AE3">
            <w:pPr>
              <w:pStyle w:val="BodyText"/>
            </w:pPr>
            <w:r w:rsidRPr="00AB3AE3">
              <w:t>3.3 Facilitate financial settlem</w:t>
            </w:r>
            <w:r w:rsidRPr="00AB3AE3">
              <w:t>ents with financial institutions or franchisor’s financial officers or debt collectors</w:t>
            </w:r>
          </w:p>
          <w:p w:rsidR="00000000" w:rsidRPr="00AB3AE3" w:rsidP="00AB3AE3">
            <w:pPr>
              <w:pStyle w:val="BodyText"/>
            </w:pPr>
            <w:r w:rsidRPr="00AB3AE3">
              <w:t>3.4 Implement arrangements for closure or transfer in consultation with customers</w:t>
            </w:r>
          </w:p>
          <w:p w:rsidR="00000000" w:rsidRPr="00AB3AE3" w:rsidP="00AB3AE3">
            <w:pPr>
              <w:pStyle w:val="BodyText"/>
            </w:pPr>
            <w:r w:rsidRPr="00AB3AE3">
              <w:t>3.5 Dispose of intellectual property including client database according to agreement b</w:t>
            </w:r>
            <w:r w:rsidRPr="00AB3AE3">
              <w:t>etween franchisor and franchisee</w:t>
            </w:r>
          </w:p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3.6 Undertake checks to ensure the process for closure or transfer has been completed according to plan</w:t>
            </w:r>
          </w:p>
        </w:tc>
      </w:tr>
      <w:tr w:rsidTr="00AB3A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4 Review implications for franchise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4.1 Analyse implications for franchise operations from review of closur</w:t>
            </w:r>
            <w:r w:rsidRPr="00AB3AE3">
              <w:t>e or transfer</w:t>
            </w:r>
          </w:p>
          <w:p w:rsidR="00000000" w:rsidRPr="00AB3AE3" w:rsidP="00AB3AE3">
            <w:pPr>
              <w:pStyle w:val="BodyText"/>
            </w:pPr>
            <w:r w:rsidRPr="00AB3AE3">
              <w:t>4.2 Identify and recommend improvements to franchise operations and management of franchises</w:t>
            </w:r>
          </w:p>
        </w:tc>
      </w:tr>
    </w:tbl>
    <w:p w:rsidR="00000000" w:rsidRPr="00AB3AE3" w:rsidP="00AB3AE3">
      <w:pPr>
        <w:pStyle w:val="BodyText"/>
      </w:pP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5" w:name="O_703029"/>
      <w:bookmarkEnd w:id="5"/>
      <w:r w:rsidRPr="00AB3AE3">
        <w:t>Foundation Skills</w:t>
      </w:r>
    </w:p>
    <w:p w:rsidR="00000000" w:rsidRPr="0059467A" w:rsidP="0059467A">
      <w:pPr>
        <w:pStyle w:val="BodyText"/>
        <w:rPr>
          <w:i/>
        </w:rPr>
      </w:pPr>
      <w:r w:rsidRPr="0059467A">
        <w:rPr>
          <w:rStyle w:val="Emphasis"/>
        </w:rPr>
        <w:t>This section describes</w:t>
      </w:r>
      <w:r w:rsidRPr="0059467A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Performance</w:t>
            </w:r>
          </w:p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SpecialBold"/>
              </w:rPr>
              <w:t>Description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Reading</w:t>
            </w:r>
            <w:r w:rsidRPr="00AB3AE3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 xml:space="preserve">1.3, 3.2, 3.6, 4.1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ListBullet"/>
              <w:rPr>
                <w:lang w:val="en-NZ"/>
              </w:rPr>
            </w:pPr>
            <w:r w:rsidRPr="00AB3AE3">
              <w:t>Evaluates and integrates facts and ideas to cons</w:t>
            </w:r>
            <w:r w:rsidRPr="00AB3AE3">
              <w:t xml:space="preserve">truct meaning from a range of texts 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1.1, 2.2, 2.3, 3.1, 3.4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ListBullet"/>
              <w:rPr>
                <w:lang w:val="en-NZ"/>
              </w:rPr>
            </w:pPr>
            <w:r w:rsidRPr="00AB3AE3">
              <w:t xml:space="preserve">Develops material for specific audiences using clear and detailed language to convey explicit information, develop alternate strategies and document recommendations 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 xml:space="preserve">1.1, 1.3, 2.2, 2.4, 3.1, 3.4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ListBullet"/>
            </w:pPr>
            <w:r w:rsidRPr="00AB3AE3">
              <w:t>Participates in verbal exchanges using language and non-verbal features appropriate to the audience</w:t>
            </w:r>
          </w:p>
          <w:p w:rsidR="00000000" w:rsidP="00AB3AE3">
            <w:pPr>
              <w:pStyle w:val="ListBullet"/>
              <w:rPr>
                <w:lang w:val="en-NZ"/>
              </w:rPr>
            </w:pPr>
            <w:r w:rsidRPr="00AB3AE3">
              <w:t>Elicits the view and opinions of others by listening and questioning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2.1, 3.5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ListBullet"/>
              <w:rPr>
                <w:lang w:val="en-NZ"/>
              </w:rPr>
            </w:pPr>
            <w:r w:rsidRPr="00AB3AE3">
              <w:t>Determines and ad</w:t>
            </w:r>
            <w:r w:rsidRPr="00AB3AE3">
              <w:t xml:space="preserve">heres to agreements and regulations 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1.1, 1.3, 2.2, 2.4, 3.1, 3.4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ListBullet"/>
            </w:pPr>
            <w:r w:rsidRPr="00AB3AE3">
              <w:t xml:space="preserve">Leads and facilitates discussions to achieve requirements </w:t>
            </w:r>
          </w:p>
          <w:p w:rsidR="00000000" w:rsidRPr="00AB3AE3" w:rsidP="00AB3AE3">
            <w:pPr>
              <w:pStyle w:val="ListBullet"/>
            </w:pPr>
            <w:r w:rsidRPr="00AB3AE3">
              <w:t>Uses effective negotiation skills to work with franchisees to implement closure</w:t>
            </w:r>
          </w:p>
          <w:p w:rsidR="00000000" w:rsidP="00AB3AE3">
            <w:pPr>
              <w:pStyle w:val="ListBullet"/>
              <w:rPr>
                <w:lang w:val="en-NZ"/>
              </w:rPr>
            </w:pPr>
            <w:r w:rsidRPr="00AB3AE3">
              <w:t xml:space="preserve">Selects and used appropriate modes and channels for communicating with diverse stakeholders </w:t>
            </w:r>
          </w:p>
        </w:tc>
      </w:tr>
      <w:tr w:rsidTr="00AB3A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1.1-1.5, 2.1, 2.3, 3.1, 3.2, 3.3, 3.5, 3.6,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ListBullet"/>
            </w:pPr>
            <w:r w:rsidRPr="00AB3AE3">
              <w:t>Accepts responsibility for planning, prioritising and sequencing complex tasks according t</w:t>
            </w:r>
            <w:r w:rsidRPr="00AB3AE3">
              <w:t>o requirements</w:t>
            </w:r>
          </w:p>
          <w:p w:rsidR="00000000" w:rsidRPr="00AB3AE3" w:rsidP="00AB3AE3">
            <w:pPr>
              <w:pStyle w:val="ListBullet"/>
            </w:pPr>
            <w:r w:rsidRPr="00AB3AE3">
              <w:t>Uses analytical processes to evaluate and decide on closure options</w:t>
            </w:r>
          </w:p>
          <w:p w:rsidR="00000000" w:rsidRPr="00AB3AE3" w:rsidP="00AB3AE3">
            <w:pPr>
              <w:pStyle w:val="ListBullet"/>
            </w:pPr>
            <w:r w:rsidRPr="00AB3AE3">
              <w:t>Uses problem-solving processes to determine solutions to issues arising during closure</w:t>
            </w:r>
          </w:p>
        </w:tc>
      </w:tr>
    </w:tbl>
    <w:p w:rsidR="00000000" w:rsidRPr="00AB3AE3" w:rsidP="00AB3AE3">
      <w:pPr>
        <w:pStyle w:val="BodyText"/>
      </w:pP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6" w:name="O_703031"/>
      <w:bookmarkEnd w:id="6"/>
      <w:r w:rsidRPr="00AB3A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 xml:space="preserve">Code and title </w:t>
            </w:r>
          </w:p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Code and title</w:t>
            </w:r>
          </w:p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SpecialBold"/>
              </w:rPr>
              <w:t>Equivalence status</w:t>
            </w:r>
          </w:p>
        </w:tc>
      </w:tr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BSBFRA505 Manage closure of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BSBFRA505B Manage closure of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Equivalent unit</w:t>
            </w:r>
          </w:p>
        </w:tc>
      </w:tr>
    </w:tbl>
    <w:p w:rsidR="00000000" w:rsidRPr="00AB3AE3" w:rsidP="00AB3AE3">
      <w:pPr>
        <w:pStyle w:val="BodyText"/>
      </w:pP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7" w:name="O_703038"/>
      <w:bookmarkEnd w:id="7"/>
      <w:r w:rsidRPr="00AB3AE3">
        <w:t>Links</w:t>
      </w:r>
    </w:p>
    <w:p w:rsidR="00000000" w:rsidRPr="00AB3AE3" w:rsidP="0059467A">
      <w:pPr>
        <w:pStyle w:val="BodyText"/>
      </w:pPr>
      <w:r w:rsidRPr="00AB3AE3">
        <w:t>Companion Volume implemen</w:t>
      </w:r>
      <w:r w:rsidRPr="00AB3AE3">
        <w:t xml:space="preserve">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06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3AE3" w:rsidP="0059467A">
      <w:pPr>
        <w:pStyle w:val="BodyText"/>
        <w:sectPr w:rsidSect="00AB3A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AE3" w:rsidP="00AB3AE3">
      <w:pPr>
        <w:pStyle w:val="SuperHeading"/>
      </w:pPr>
      <w:r w:rsidRPr="00AB3AE3">
        <w:t>Assessment Requirements for BSBFRA505 Manage closure of a franchise</w:t>
      </w:r>
    </w:p>
    <w:p w:rsidR="00000000" w:rsidRPr="00AB3AE3" w:rsidP="00AB3AE3">
      <w:pPr>
        <w:pStyle w:val="Heading1"/>
      </w:pPr>
      <w:bookmarkStart w:id="8" w:name="O_703033"/>
      <w:bookmarkEnd w:id="8"/>
      <w:r w:rsidRPr="00AB3A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rPr>
                <w:rStyle w:val="SpecialBold"/>
              </w:rPr>
              <w:t>Comments</w:t>
            </w:r>
          </w:p>
        </w:tc>
      </w:tr>
      <w:tr w:rsidTr="00AB3A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E3">
            <w:pPr>
              <w:pStyle w:val="BodyText"/>
              <w:rPr>
                <w:lang w:val="en-NZ"/>
              </w:rPr>
            </w:pPr>
            <w:r w:rsidRPr="00AB3A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E3" w:rsidP="00AB3AE3">
            <w:pPr>
              <w:pStyle w:val="BodyText"/>
            </w:pPr>
            <w:r w:rsidRPr="00AB3AE3">
              <w:t>This version first released with BSB Business Services Training Package Version 1.0.</w:t>
            </w:r>
          </w:p>
        </w:tc>
      </w:tr>
    </w:tbl>
    <w:p w:rsidR="00000000" w:rsidRPr="00AB3AE3" w:rsidP="00AB3AE3">
      <w:pPr>
        <w:pStyle w:val="BodyText"/>
      </w:pP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9" w:name="O_703034"/>
      <w:bookmarkEnd w:id="9"/>
      <w:r w:rsidRPr="00AB3AE3">
        <w:t>Performance Evidence</w:t>
      </w:r>
    </w:p>
    <w:p w:rsidR="00000000" w:rsidRPr="00AB3AE3" w:rsidP="0059467A">
      <w:pPr>
        <w:pStyle w:val="BodyText"/>
      </w:pPr>
      <w:r w:rsidRPr="00AB3AE3">
        <w:t>Evidence of the ability to:</w:t>
      </w:r>
    </w:p>
    <w:p w:rsidR="00000000" w:rsidRPr="00AB3AE3" w:rsidP="00AB3AE3">
      <w:pPr>
        <w:pStyle w:val="ListBullet"/>
      </w:pPr>
      <w:r w:rsidRPr="00AB3AE3">
        <w:t>evaluate alternatives to closure</w:t>
      </w:r>
    </w:p>
    <w:p w:rsidR="00000000" w:rsidRPr="00AB3AE3" w:rsidP="00AB3AE3">
      <w:pPr>
        <w:pStyle w:val="ListBullet"/>
      </w:pPr>
      <w:r w:rsidRPr="00AB3AE3">
        <w:t xml:space="preserve">plan franchise closure </w:t>
      </w:r>
    </w:p>
    <w:p w:rsidR="00000000" w:rsidRPr="00AB3AE3" w:rsidP="00AB3AE3">
      <w:pPr>
        <w:pStyle w:val="ListBullet"/>
      </w:pPr>
      <w:r w:rsidRPr="00AB3AE3">
        <w:t>consult all stakeholders involved in closure</w:t>
      </w:r>
    </w:p>
    <w:p w:rsidR="00000000" w:rsidRPr="00AB3AE3" w:rsidP="00AB3AE3">
      <w:pPr>
        <w:pStyle w:val="ListBullet"/>
      </w:pPr>
      <w:r w:rsidRPr="00AB3AE3">
        <w:t>document reasons for closure and incorporate these reasons into plans for future operations.</w:t>
      </w:r>
    </w:p>
    <w:p w:rsidR="00000000" w:rsidRPr="00AB3AE3" w:rsidP="00AB3AE3">
      <w:pPr>
        <w:pStyle w:val="BodyText"/>
      </w:pPr>
    </w:p>
    <w:p w:rsidR="00000000" w:rsidRPr="00AB3AE3" w:rsidP="0059467A">
      <w:pPr>
        <w:pStyle w:val="BodyText"/>
      </w:pPr>
      <w:r w:rsidRPr="00AB3AE3">
        <w:t>Note: If a specific volume or frequency is not stated, then evidence must be provided at leas</w:t>
      </w:r>
      <w:r w:rsidRPr="00AB3AE3">
        <w:t>t once.</w:t>
      </w:r>
    </w:p>
    <w:p w:rsidR="00000000" w:rsidRPr="00AB3AE3" w:rsidP="00AB3AE3">
      <w:pPr>
        <w:pStyle w:val="Heading1"/>
      </w:pPr>
      <w:bookmarkStart w:id="10" w:name="O_703035"/>
      <w:bookmarkEnd w:id="10"/>
      <w:r w:rsidRPr="00AB3AE3">
        <w:t>Knowledge Evidence</w:t>
      </w:r>
    </w:p>
    <w:p w:rsidR="00000000" w:rsidRPr="00AB3AE3" w:rsidP="0059467A">
      <w:pPr>
        <w:pStyle w:val="BodyText"/>
      </w:pPr>
      <w:r w:rsidRPr="00AB3AE3">
        <w:t xml:space="preserve">To complete the unit requirements safely and effectively, the individual must: </w:t>
      </w:r>
    </w:p>
    <w:p w:rsidR="00000000" w:rsidRPr="00AB3AE3" w:rsidP="00AB3AE3">
      <w:pPr>
        <w:pStyle w:val="ListBullet"/>
      </w:pPr>
      <w:r w:rsidRPr="00AB3AE3">
        <w:t>identify legislation, codes of practice and national standards relevant to the franchise operation</w:t>
      </w:r>
    </w:p>
    <w:p w:rsidR="00000000" w:rsidRPr="00AB3AE3" w:rsidP="00AB3AE3">
      <w:pPr>
        <w:pStyle w:val="ListBullet"/>
      </w:pPr>
      <w:r w:rsidRPr="00AB3AE3">
        <w:t xml:space="preserve">explain the fundamentals of the </w:t>
      </w:r>
      <w:r w:rsidRPr="00AB3AE3">
        <w:t>Franchising Code of Conduct and other franchise specific obligations:</w:t>
      </w:r>
    </w:p>
    <w:p w:rsidR="00000000" w:rsidRPr="00AB3AE3" w:rsidP="00AB3AE3">
      <w:pPr>
        <w:pStyle w:val="ListBullet2"/>
      </w:pPr>
      <w:r w:rsidRPr="00AB3AE3">
        <w:t>as per franchise agreement</w:t>
      </w:r>
    </w:p>
    <w:p w:rsidR="00000000" w:rsidRPr="00AB3AE3" w:rsidP="00AB3AE3">
      <w:pPr>
        <w:pStyle w:val="ListBullet2"/>
      </w:pPr>
      <w:r w:rsidRPr="00AB3AE3">
        <w:t>as per updates and amendments to the agreement over time.</w:t>
      </w:r>
    </w:p>
    <w:p w:rsidR="00000000" w:rsidRPr="00AB3AE3" w:rsidP="00AB3AE3">
      <w:pPr>
        <w:pStyle w:val="AllowPageBreak"/>
      </w:pPr>
    </w:p>
    <w:p w:rsidR="00000000" w:rsidRPr="00AB3AE3" w:rsidP="00AB3AE3">
      <w:pPr>
        <w:pStyle w:val="Heading1"/>
      </w:pPr>
      <w:bookmarkStart w:id="11" w:name="O_703036"/>
      <w:bookmarkEnd w:id="11"/>
      <w:r w:rsidRPr="00AB3AE3">
        <w:t>Assessment Conditions</w:t>
      </w:r>
    </w:p>
    <w:p w:rsidR="00000000" w:rsidRPr="00AB3AE3" w:rsidP="0059467A">
      <w:pPr>
        <w:pStyle w:val="BodyText"/>
      </w:pPr>
      <w:r w:rsidRPr="00AB3AE3">
        <w:t>Assessment must be conducted in a safe environment where evidence gathered demonstrates consistent performance of typical activities experienced in the management and leadership – franchising field of work. This includes access to:</w:t>
      </w:r>
    </w:p>
    <w:p w:rsidR="00000000" w:rsidRPr="00AB3AE3" w:rsidP="00AB3AE3">
      <w:pPr>
        <w:pStyle w:val="ListBullet"/>
      </w:pPr>
      <w:r w:rsidRPr="00AB3AE3">
        <w:t>business documentation</w:t>
      </w:r>
    </w:p>
    <w:p w:rsidR="00000000" w:rsidRPr="00AB3AE3" w:rsidP="00AB3AE3">
      <w:pPr>
        <w:pStyle w:val="ListBullet"/>
      </w:pPr>
      <w:r w:rsidRPr="00AB3AE3">
        <w:t>feedback from franchisees</w:t>
      </w:r>
    </w:p>
    <w:p w:rsidR="00000000" w:rsidRPr="00AB3AE3" w:rsidP="00AB3AE3">
      <w:pPr>
        <w:pStyle w:val="ListBullet"/>
      </w:pPr>
      <w:r w:rsidRPr="00AB3AE3">
        <w:t>office equipment and resources.</w:t>
      </w:r>
    </w:p>
    <w:p w:rsidR="00000000" w:rsidRPr="00AB3AE3" w:rsidP="00AB3AE3">
      <w:pPr>
        <w:pStyle w:val="BodyText"/>
      </w:pPr>
    </w:p>
    <w:p w:rsidR="0059467A" w:rsidP="0059467A">
      <w:pPr>
        <w:pStyle w:val="BodyText"/>
      </w:pPr>
      <w:r w:rsidRPr="00AB3AE3">
        <w:t>Assessors must satisfy NVR/AQTF assessor requirements.</w:t>
      </w:r>
    </w:p>
    <w:p w:rsidR="00000000" w:rsidRPr="00AB3AE3" w:rsidP="00AB3AE3">
      <w:pPr>
        <w:pStyle w:val="Heading1"/>
      </w:pPr>
      <w:bookmarkStart w:id="12" w:name="O_703039"/>
      <w:bookmarkEnd w:id="12"/>
      <w:r w:rsidRPr="00AB3AE3">
        <w:t>Links</w:t>
      </w:r>
    </w:p>
    <w:p w:rsidR="00000000" w:rsidRPr="00AB3AE3" w:rsidP="0059467A">
      <w:pPr>
        <w:pStyle w:val="BodyText"/>
      </w:pPr>
      <w:r w:rsidRPr="00AB3A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06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3AE3" w:rsidP="00AB3AE3"/>
    <w:sectPr w:rsidSect="00AB3A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 w:rsidRPr="0059467A" w:rsidP="00594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7A" w:rsidP="00AB3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67A" w:rsidP="00AB3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467A" w:rsidP="00AB3A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 w:rsidP="00AB3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67A">
      <w:t>Approved</w:t>
    </w:r>
    <w:r w:rsidR="00594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6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67A">
      <w:rPr>
        <w:noProof/>
      </w:rPr>
      <w:t>4</w:t>
    </w:r>
    <w:r>
      <w:rPr>
        <w:noProof/>
      </w:rPr>
      <w:fldChar w:fldCharType="end"/>
    </w:r>
  </w:p>
  <w:p w:rsidR="00AB3AE3" w:rsidP="00AB3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67A">
      <w:t>Future Skills Organisation</w:t>
    </w:r>
    <w:r w:rsidR="0059467A">
      <w:fldChar w:fldCharType="end"/>
    </w:r>
  </w:p>
  <w:p w:rsidR="00AB3AE3" w:rsidP="00AB3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AE3" w:rsidRPr="0059467A" w:rsidP="00594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67A" w:rsidRPr="002D2AF8" w:rsidP="00AB3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BSBFRA505 Manage closure of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67A" w:rsidP="00AB3A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E3" w:rsidRPr="002D2AF8" w:rsidP="00AB3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67A">
      <w:t>BSBFRA505 Manage closure of a franchise</w:t>
    </w:r>
    <w:r w:rsidR="00594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67A">
      <w:rPr>
        <w:noProof/>
      </w:rPr>
      <w:t>2 March 2025</w:t>
    </w:r>
    <w:r>
      <w:fldChar w:fldCharType="end"/>
    </w:r>
  </w:p>
  <w:p w:rsidR="00AB3AE3" w:rsidP="00AB3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A0F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387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E0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AE3"/>
  </w:style>
  <w:style w:type="character" w:customStyle="1" w:styleId="Heading1Char">
    <w:name w:val="Heading 1 Char"/>
    <w:basedOn w:val="DefaultParagraphFont"/>
    <w:link w:val="Heading1"/>
    <w:rsid w:val="00AB3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A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AE3"/>
    <w:rPr>
      <w:b/>
      <w:spacing w:val="0"/>
    </w:rPr>
  </w:style>
  <w:style w:type="paragraph" w:styleId="ListBullet2">
    <w:name w:val="List Bullet 2"/>
    <w:basedOn w:val="List2"/>
    <w:rsid w:val="00AB3A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3AE3"/>
    <w:rPr>
      <w:i/>
    </w:rPr>
  </w:style>
  <w:style w:type="paragraph" w:customStyle="1" w:styleId="SuperHeading">
    <w:name w:val="SuperHeading"/>
    <w:basedOn w:val="Normal"/>
    <w:rsid w:val="00AB3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A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AE3"/>
  </w:style>
  <w:style w:type="paragraph" w:styleId="TableofFigures">
    <w:name w:val="table of figures"/>
    <w:basedOn w:val="Normal"/>
    <w:next w:val="Normal"/>
    <w:semiHidden/>
    <w:rsid w:val="00AB3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AE3"/>
    <w:rPr>
      <w:rFonts w:ascii="Wingdings" w:hAnsi="Wingdings"/>
    </w:rPr>
  </w:style>
  <w:style w:type="paragraph" w:customStyle="1" w:styleId="TableHeading">
    <w:name w:val="Table Heading"/>
    <w:basedOn w:val="HeadingBase"/>
    <w:rsid w:val="00AB3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AE3"/>
    <w:rPr>
      <w:color w:val="0033CC"/>
      <w:u w:val="none"/>
    </w:rPr>
  </w:style>
  <w:style w:type="paragraph" w:customStyle="1" w:styleId="BodyTextRight">
    <w:name w:val="Body Text Right"/>
    <w:basedOn w:val="BodyText"/>
    <w:rsid w:val="00AB3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AE3"/>
    <w:rPr>
      <w:sz w:val="32"/>
    </w:rPr>
  </w:style>
  <w:style w:type="paragraph" w:customStyle="1" w:styleId="HeadingProcedure">
    <w:name w:val="Heading Procedure"/>
    <w:basedOn w:val="HeadingBase"/>
    <w:next w:val="Normal"/>
    <w:rsid w:val="00AB3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AE3"/>
    <w:pPr>
      <w:spacing w:before="60" w:after="60"/>
    </w:pPr>
  </w:style>
  <w:style w:type="paragraph" w:styleId="ListContinue">
    <w:name w:val="List Continue"/>
    <w:basedOn w:val="List"/>
    <w:rsid w:val="00AB3AE3"/>
    <w:pPr>
      <w:ind w:firstLine="0"/>
    </w:pPr>
  </w:style>
  <w:style w:type="paragraph" w:customStyle="1" w:styleId="ListNote">
    <w:name w:val="List Note"/>
    <w:basedOn w:val="List"/>
    <w:rsid w:val="00AB3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AE3"/>
    <w:rPr>
      <w:rFonts w:ascii="Courier New" w:hAnsi="Courier New"/>
    </w:rPr>
  </w:style>
  <w:style w:type="paragraph" w:customStyle="1" w:styleId="NoteBullet">
    <w:name w:val="Note Bullet"/>
    <w:basedOn w:val="Note"/>
    <w:rsid w:val="00AB3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AE3"/>
    <w:rPr>
      <w:b/>
      <w:smallCaps/>
    </w:rPr>
  </w:style>
  <w:style w:type="paragraph" w:customStyle="1" w:styleId="TableListNumber">
    <w:name w:val="Table List Number"/>
    <w:basedOn w:val="ListNumber"/>
    <w:rsid w:val="00AB3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AE3"/>
    <w:pPr>
      <w:numPr>
        <w:numId w:val="9"/>
      </w:numPr>
    </w:pPr>
  </w:style>
  <w:style w:type="paragraph" w:customStyle="1" w:styleId="ListAlpha2">
    <w:name w:val="List Alpha 2"/>
    <w:basedOn w:val="List2"/>
    <w:rsid w:val="00AB3AE3"/>
    <w:pPr>
      <w:numPr>
        <w:numId w:val="8"/>
      </w:numPr>
    </w:pPr>
  </w:style>
  <w:style w:type="paragraph" w:styleId="List2">
    <w:name w:val="List 2"/>
    <w:basedOn w:val="BodyText"/>
    <w:rsid w:val="00AB3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AE3"/>
    <w:pPr>
      <w:numPr>
        <w:numId w:val="4"/>
      </w:numPr>
    </w:pPr>
  </w:style>
  <w:style w:type="paragraph" w:styleId="ListContinue2">
    <w:name w:val="List Continue 2"/>
    <w:basedOn w:val="List2"/>
    <w:rsid w:val="00AB3AE3"/>
    <w:pPr>
      <w:ind w:firstLine="0"/>
    </w:pPr>
  </w:style>
  <w:style w:type="paragraph" w:styleId="ListContinue3">
    <w:name w:val="List Continue 3"/>
    <w:basedOn w:val="List3"/>
    <w:rsid w:val="00AB3AE3"/>
    <w:pPr>
      <w:ind w:left="1021" w:firstLine="0"/>
    </w:pPr>
  </w:style>
  <w:style w:type="paragraph" w:styleId="ListContinue4">
    <w:name w:val="List Continue 4"/>
    <w:basedOn w:val="List4"/>
    <w:rsid w:val="00AB3AE3"/>
    <w:pPr>
      <w:ind w:firstLine="0"/>
    </w:pPr>
  </w:style>
  <w:style w:type="paragraph" w:styleId="ListContinue5">
    <w:name w:val="List Continue 5"/>
    <w:basedOn w:val="List5"/>
    <w:rsid w:val="00AB3AE3"/>
    <w:pPr>
      <w:ind w:firstLine="0"/>
    </w:pPr>
  </w:style>
  <w:style w:type="paragraph" w:styleId="ListNumber3">
    <w:name w:val="List Number 3"/>
    <w:basedOn w:val="List3"/>
    <w:rsid w:val="00AB3AE3"/>
    <w:pPr>
      <w:numPr>
        <w:numId w:val="5"/>
      </w:numPr>
    </w:pPr>
  </w:style>
  <w:style w:type="paragraph" w:styleId="ListNumber4">
    <w:name w:val="List Number 4"/>
    <w:basedOn w:val="List4"/>
    <w:rsid w:val="00AB3AE3"/>
    <w:pPr>
      <w:numPr>
        <w:numId w:val="6"/>
      </w:numPr>
    </w:pPr>
  </w:style>
  <w:style w:type="paragraph" w:styleId="ListNumber5">
    <w:name w:val="List Number 5"/>
    <w:basedOn w:val="List5"/>
    <w:rsid w:val="00AB3AE3"/>
    <w:pPr>
      <w:numPr>
        <w:numId w:val="7"/>
      </w:numPr>
    </w:pPr>
  </w:style>
  <w:style w:type="paragraph" w:styleId="BlockText">
    <w:name w:val="Block Text"/>
    <w:basedOn w:val="Normal"/>
    <w:rsid w:val="00AB3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AE3"/>
    <w:rPr>
      <w:sz w:val="16"/>
      <w:vertAlign w:val="superscript"/>
    </w:rPr>
  </w:style>
  <w:style w:type="character" w:customStyle="1" w:styleId="Symbols">
    <w:name w:val="Symbols"/>
    <w:basedOn w:val="DefaultParagraphFont"/>
    <w:rsid w:val="00AB3AE3"/>
    <w:rPr>
      <w:rFonts w:ascii="Symbol" w:hAnsi="Symbol"/>
    </w:rPr>
  </w:style>
  <w:style w:type="character" w:customStyle="1" w:styleId="MenuOptions">
    <w:name w:val="Menu Options"/>
    <w:basedOn w:val="DefaultParagraphFont"/>
    <w:rsid w:val="00AB3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AE3"/>
    <w:rPr>
      <w:b/>
    </w:rPr>
  </w:style>
  <w:style w:type="character" w:customStyle="1" w:styleId="Underlined">
    <w:name w:val="Underlined"/>
    <w:basedOn w:val="DefaultParagraphFont"/>
    <w:rsid w:val="00AB3AE3"/>
    <w:rPr>
      <w:u w:val="single"/>
    </w:rPr>
  </w:style>
  <w:style w:type="paragraph" w:customStyle="1" w:styleId="TableBodyTextRight">
    <w:name w:val="Table Body Text Right"/>
    <w:basedOn w:val="TableBodyText"/>
    <w:rsid w:val="00AB3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AE3"/>
    <w:rPr>
      <w:sz w:val="18"/>
    </w:rPr>
  </w:style>
  <w:style w:type="paragraph" w:customStyle="1" w:styleId="BodySmallRight">
    <w:name w:val="Body Small Right"/>
    <w:basedOn w:val="BodyTextRight"/>
    <w:rsid w:val="00AB3AE3"/>
    <w:rPr>
      <w:sz w:val="18"/>
      <w:szCs w:val="18"/>
    </w:rPr>
  </w:style>
  <w:style w:type="paragraph" w:customStyle="1" w:styleId="MarginEdition">
    <w:name w:val="Margin Edition"/>
    <w:basedOn w:val="MarginNote"/>
    <w:rsid w:val="00AB3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AE3"/>
    <w:rPr>
      <w:sz w:val="2"/>
      <w:szCs w:val="2"/>
    </w:rPr>
  </w:style>
  <w:style w:type="character" w:customStyle="1" w:styleId="Small">
    <w:name w:val="Small"/>
    <w:basedOn w:val="DefaultParagraphFont"/>
    <w:rsid w:val="00AB3AE3"/>
    <w:rPr>
      <w:sz w:val="16"/>
    </w:rPr>
  </w:style>
  <w:style w:type="paragraph" w:customStyle="1" w:styleId="WideTable">
    <w:name w:val="Wide Table"/>
    <w:basedOn w:val="Normal"/>
    <w:rsid w:val="00AB3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AE3"/>
  </w:style>
  <w:style w:type="paragraph" w:styleId="Quote">
    <w:name w:val="Quote"/>
    <w:basedOn w:val="Heading1"/>
    <w:link w:val="QuoteChar"/>
    <w:qFormat/>
    <w:rsid w:val="00AB3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AE3"/>
    <w:pPr>
      <w:pageBreakBefore/>
    </w:pPr>
  </w:style>
  <w:style w:type="paragraph" w:customStyle="1" w:styleId="Border">
    <w:name w:val="Border"/>
    <w:basedOn w:val="Normal"/>
    <w:qFormat/>
    <w:rsid w:val="00AB3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AE3"/>
    <w:rPr>
      <w:u w:val="single"/>
    </w:rPr>
  </w:style>
  <w:style w:type="character" w:customStyle="1" w:styleId="BoldandItalics">
    <w:name w:val="Bold and Italics"/>
    <w:qFormat/>
    <w:rsid w:val="00AB3AE3"/>
    <w:rPr>
      <w:b/>
      <w:i/>
      <w:u w:val="none"/>
    </w:rPr>
  </w:style>
  <w:style w:type="paragraph" w:styleId="BalloonText">
    <w:name w:val="Balloon Text"/>
    <w:basedOn w:val="Normal"/>
    <w:link w:val="BalloonTextChar"/>
    <w:rsid w:val="00AB3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AE3"/>
    <w:pPr>
      <w:spacing w:before="0" w:after="0"/>
    </w:pPr>
  </w:style>
  <w:style w:type="paragraph" w:customStyle="1" w:styleId="BodyTextBold">
    <w:name w:val="Body Text Bold"/>
    <w:basedOn w:val="BodyText"/>
    <w:qFormat/>
    <w:rsid w:val="00AB3AE3"/>
    <w:rPr>
      <w:b/>
    </w:rPr>
  </w:style>
  <w:style w:type="character" w:styleId="Hyperlink">
    <w:name w:val="Hyperlink"/>
    <w:basedOn w:val="DefaultParagraphFont"/>
    <w:uiPriority w:val="99"/>
    <w:unhideWhenUsed/>
    <w:rsid w:val="00594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5644</Characters>
  <Application>Microsoft Office Word</Application>
  <DocSecurity>0</DocSecurity>
  <Lines>209</Lines>
  <Paragraphs>130</Paragraphs>
  <ScaleCrop>false</ScaleCrop>
  <Company>Author-it Software Corporation Ltd.</Company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BSBFRA505 Manage closure of a franchise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