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16DE" w:rsidP="00C516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BSBFIN401 Report on financial activity</w:t>
      </w:r>
      <w:r>
        <w:fldChar w:fldCharType="end"/>
      </w:r>
    </w:p>
    <w:p w:rsidR="00C516DE" w:rsidP="00C516DE">
      <w:pPr>
        <w:pStyle w:val="Version"/>
        <w:sectPr w:rsidSect="000F36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3632" w:rsidP="000F3632">
      <w:pPr>
        <w:pStyle w:val="SuperHeading"/>
      </w:pPr>
      <w:r w:rsidRPr="000F3632">
        <w:t>Assessment Requirements for BSBFIN401 Report on financial activity</w:t>
      </w:r>
    </w:p>
    <w:p w:rsidR="00000000" w:rsidRPr="000F3632" w:rsidP="000F3632">
      <w:pPr>
        <w:pStyle w:val="Heading1"/>
      </w:pPr>
      <w:bookmarkStart w:id="1" w:name="O_1119352"/>
      <w:bookmarkEnd w:id="1"/>
      <w:r w:rsidRPr="000F3632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F363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32" w:rsidP="000F3632">
            <w:pPr>
              <w:pStyle w:val="BodyText"/>
            </w:pPr>
            <w:r w:rsidRPr="000F3632">
              <w:rPr>
                <w:rStyle w:val="SpecialBold"/>
              </w:rPr>
              <w:t>Release</w:t>
            </w:r>
            <w:r w:rsidRPr="000F363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32">
            <w:pPr>
              <w:pStyle w:val="BodyText"/>
              <w:rPr>
                <w:lang w:val="en-NZ"/>
              </w:rPr>
            </w:pPr>
            <w:r w:rsidRPr="000F3632">
              <w:rPr>
                <w:rStyle w:val="SpecialBold"/>
              </w:rPr>
              <w:t>Comments</w:t>
            </w:r>
            <w:r w:rsidRPr="000F3632">
              <w:t> </w:t>
            </w:r>
          </w:p>
        </w:tc>
      </w:tr>
      <w:tr w:rsidTr="000F3632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3632">
            <w:pPr>
              <w:pStyle w:val="BodyText"/>
              <w:rPr>
                <w:lang w:val="en-NZ"/>
              </w:rPr>
            </w:pPr>
            <w:r w:rsidRPr="000F363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3632" w:rsidP="000F3632">
            <w:pPr>
              <w:pStyle w:val="BodyText"/>
            </w:pPr>
            <w:r w:rsidRPr="000F3632">
              <w:t>This version first released with BSB Business Services Training Package Version 7.0.</w:t>
            </w:r>
          </w:p>
        </w:tc>
      </w:tr>
    </w:tbl>
    <w:p w:rsidR="00000000" w:rsidRPr="000F3632" w:rsidP="000F3632">
      <w:pPr>
        <w:pStyle w:val="BodyText"/>
      </w:pPr>
    </w:p>
    <w:p w:rsidR="00000000" w:rsidRPr="000F3632" w:rsidP="000F3632">
      <w:pPr>
        <w:pStyle w:val="AllowPageBreak"/>
      </w:pPr>
    </w:p>
    <w:p w:rsidR="00000000" w:rsidRPr="000F3632" w:rsidP="000F3632">
      <w:pPr>
        <w:pStyle w:val="Heading1"/>
      </w:pPr>
      <w:bookmarkStart w:id="2" w:name="O_1119355"/>
      <w:bookmarkEnd w:id="2"/>
      <w:r w:rsidRPr="000F3632">
        <w:t>Performance Evidence</w:t>
      </w:r>
    </w:p>
    <w:p w:rsidR="00000000" w:rsidRPr="000F3632" w:rsidP="00C516DE">
      <w:pPr>
        <w:pStyle w:val="BodyText"/>
      </w:pPr>
      <w:r w:rsidRPr="000F3632">
        <w:t>The candidate must demonstrate the ability to complete the tasks outlined in the elements, performance criteria and foundation skills of this unit, including evidence of the ability to:</w:t>
      </w:r>
    </w:p>
    <w:p w:rsidR="00000000" w:rsidRPr="000F3632" w:rsidP="000F3632">
      <w:pPr>
        <w:pStyle w:val="ListBullet"/>
      </w:pPr>
      <w:r w:rsidRPr="000F3632">
        <w:t>prepare a financial report on at least two occas</w:t>
      </w:r>
      <w:r w:rsidRPr="000F3632">
        <w:t>ions.</w:t>
      </w:r>
    </w:p>
    <w:p w:rsidR="00000000" w:rsidRPr="000F3632" w:rsidP="00C516DE">
      <w:pPr>
        <w:pStyle w:val="BodyText"/>
      </w:pPr>
      <w:r w:rsidRPr="000F3632">
        <w:t>In the course of the above, the candidate must:</w:t>
      </w:r>
    </w:p>
    <w:p w:rsidR="00000000" w:rsidRPr="000F3632" w:rsidP="000F3632">
      <w:pPr>
        <w:pStyle w:val="ListBullet"/>
      </w:pPr>
      <w:r w:rsidRPr="000F3632">
        <w:t>produce a detailed asset register and depreciation schedule</w:t>
      </w:r>
    </w:p>
    <w:p w:rsidR="00000000" w:rsidRPr="000F3632" w:rsidP="000F3632">
      <w:pPr>
        <w:pStyle w:val="ListBullet"/>
      </w:pPr>
      <w:r w:rsidRPr="000F3632">
        <w:t>record entries for balance day adjustments</w:t>
      </w:r>
    </w:p>
    <w:p w:rsidR="00000000" w:rsidRPr="000F3632" w:rsidP="000F3632">
      <w:pPr>
        <w:pStyle w:val="ListBullet"/>
      </w:pPr>
      <w:r w:rsidRPr="000F3632">
        <w:t>use conversion and consolidation procedures including moving averages, standardised variables, trend analysis and unit costs</w:t>
      </w:r>
    </w:p>
    <w:p w:rsidR="00000000" w:rsidRPr="000F3632" w:rsidP="000F3632">
      <w:pPr>
        <w:pStyle w:val="ListBullet"/>
      </w:pPr>
      <w:r w:rsidRPr="000F3632">
        <w:t xml:space="preserve">apply double-entry principles and accrual accounting. </w:t>
      </w:r>
    </w:p>
    <w:p w:rsidR="00000000" w:rsidRPr="000F3632" w:rsidP="000F3632">
      <w:pPr>
        <w:pStyle w:val="AllowPageBreak"/>
      </w:pPr>
    </w:p>
    <w:p w:rsidR="00000000" w:rsidRPr="000F3632" w:rsidP="000F3632">
      <w:pPr>
        <w:pStyle w:val="Heading1"/>
      </w:pPr>
      <w:bookmarkStart w:id="3" w:name="O_1119354"/>
      <w:bookmarkEnd w:id="3"/>
      <w:r w:rsidRPr="000F3632">
        <w:t>Knowledge Evidence</w:t>
      </w:r>
    </w:p>
    <w:p w:rsidR="00000000" w:rsidRPr="000F3632" w:rsidP="00C516DE">
      <w:pPr>
        <w:pStyle w:val="BodyText"/>
      </w:pPr>
      <w:r w:rsidRPr="000F3632">
        <w:t>The candidate must be able to demonstr</w:t>
      </w:r>
      <w:r w:rsidRPr="000F3632">
        <w:t>ate knowledge to complete the tasks outlined in the elements, performance criteria and foundation skills of this unit, including knowledge of:</w:t>
      </w:r>
    </w:p>
    <w:p w:rsidR="00000000" w:rsidRPr="000F3632" w:rsidP="000F3632">
      <w:pPr>
        <w:pStyle w:val="ListBullet"/>
      </w:pPr>
      <w:r w:rsidRPr="000F3632">
        <w:t>double</w:t>
      </w:r>
      <w:r w:rsidRPr="000F3632">
        <w:noBreakHyphen/>
        <w:t>entry and accrual principles</w:t>
      </w:r>
    </w:p>
    <w:p w:rsidR="00000000" w:rsidRPr="000F3632" w:rsidP="000F3632">
      <w:pPr>
        <w:pStyle w:val="ListBullet"/>
      </w:pPr>
      <w:r w:rsidRPr="000F3632">
        <w:t>provisions of relevant legislation, regulations, standards and codes of prac</w:t>
      </w:r>
      <w:r w:rsidRPr="000F3632">
        <w:t>tice relevant to financial operations, taxable transactions and reporting requirements</w:t>
      </w:r>
    </w:p>
    <w:p w:rsidR="00000000" w:rsidRPr="000F3632" w:rsidP="000F3632">
      <w:pPr>
        <w:pStyle w:val="ListBullet"/>
      </w:pPr>
      <w:r w:rsidRPr="000F3632">
        <w:t>components of organisational accounting systems</w:t>
      </w:r>
    </w:p>
    <w:p w:rsidR="00000000" w:rsidRPr="000F3632" w:rsidP="000F3632">
      <w:pPr>
        <w:pStyle w:val="ListBullet"/>
      </w:pPr>
      <w:r w:rsidRPr="000F3632">
        <w:t>organisational policies, procedures and accounting standards relating to preparation of financial reports</w:t>
      </w:r>
    </w:p>
    <w:p w:rsidR="00000000" w:rsidRPr="000F3632" w:rsidP="000F3632">
      <w:pPr>
        <w:pStyle w:val="ListBullet"/>
      </w:pPr>
      <w:r w:rsidRPr="000F3632">
        <w:t xml:space="preserve">organisational </w:t>
      </w:r>
      <w:r w:rsidRPr="000F3632">
        <w:t xml:space="preserve">financial data, including: </w:t>
      </w:r>
    </w:p>
    <w:p w:rsidR="00000000" w:rsidRPr="000F3632" w:rsidP="000F3632">
      <w:pPr>
        <w:pStyle w:val="ListBullet2"/>
      </w:pPr>
      <w:r w:rsidRPr="000F3632">
        <w:t>budget variances</w:t>
      </w:r>
    </w:p>
    <w:p w:rsidR="00000000" w:rsidRPr="000F3632" w:rsidP="000F3632">
      <w:pPr>
        <w:pStyle w:val="ListBullet2"/>
      </w:pPr>
      <w:r w:rsidRPr="000F3632">
        <w:t>budgets and forecasts</w:t>
      </w:r>
    </w:p>
    <w:p w:rsidR="00000000" w:rsidRPr="000F3632" w:rsidP="000F3632">
      <w:pPr>
        <w:pStyle w:val="ListBullet2"/>
      </w:pPr>
      <w:r w:rsidRPr="000F3632">
        <w:t>cash flow and profit reports</w:t>
      </w:r>
    </w:p>
    <w:p w:rsidR="00000000" w:rsidRPr="000F3632" w:rsidP="000F3632">
      <w:pPr>
        <w:pStyle w:val="ListBullet2"/>
      </w:pPr>
      <w:r w:rsidRPr="000F3632">
        <w:t>balance sheets</w:t>
      </w:r>
    </w:p>
    <w:p w:rsidR="00000000" w:rsidRPr="000F3632" w:rsidP="000F3632">
      <w:pPr>
        <w:pStyle w:val="ListBullet2"/>
      </w:pPr>
      <w:r w:rsidRPr="000F3632">
        <w:t>financial year reports</w:t>
      </w:r>
    </w:p>
    <w:p w:rsidR="00000000" w:rsidRPr="000F3632" w:rsidP="000F3632">
      <w:pPr>
        <w:pStyle w:val="ListBullet2"/>
      </w:pPr>
      <w:r w:rsidRPr="000F3632">
        <w:t>operating statements</w:t>
      </w:r>
    </w:p>
    <w:p w:rsidR="00000000" w:rsidRPr="000F3632" w:rsidP="000F3632">
      <w:pPr>
        <w:pStyle w:val="ListBullet2"/>
      </w:pPr>
      <w:r w:rsidRPr="000F3632">
        <w:t xml:space="preserve">expenditure and receipts </w:t>
      </w:r>
    </w:p>
    <w:p w:rsidR="00000000" w:rsidRPr="000F3632" w:rsidP="000F3632">
      <w:pPr>
        <w:pStyle w:val="ListBullet2"/>
      </w:pPr>
      <w:r w:rsidRPr="000F3632">
        <w:t xml:space="preserve">profit and loss statements </w:t>
      </w:r>
    </w:p>
    <w:p w:rsidR="00000000" w:rsidRPr="000F3632" w:rsidP="000F3632">
      <w:pPr>
        <w:pStyle w:val="ListBullet2"/>
      </w:pPr>
      <w:r w:rsidRPr="000F3632">
        <w:t>types of assets including property, plant and equipment</w:t>
      </w:r>
    </w:p>
    <w:p w:rsidR="00000000" w:rsidRPr="000F3632" w:rsidP="000F3632">
      <w:pPr>
        <w:pStyle w:val="ListBullet2"/>
      </w:pPr>
      <w:r w:rsidRPr="000F3632">
        <w:t>comparative financial performance</w:t>
      </w:r>
    </w:p>
    <w:p w:rsidR="00000000" w:rsidRPr="000F3632" w:rsidP="000F3632">
      <w:pPr>
        <w:pStyle w:val="ListBullet"/>
      </w:pPr>
      <w:r w:rsidRPr="000F3632">
        <w:t>financial discrepancies including:</w:t>
      </w:r>
    </w:p>
    <w:p w:rsidR="00000000" w:rsidRPr="000F3632" w:rsidP="000F3632">
      <w:pPr>
        <w:pStyle w:val="ListBullet2"/>
      </w:pPr>
      <w:r w:rsidRPr="000F3632">
        <w:t>absence of auditable trail</w:t>
      </w:r>
    </w:p>
    <w:p w:rsidR="00000000" w:rsidRPr="000F3632" w:rsidP="000F3632">
      <w:pPr>
        <w:pStyle w:val="ListBullet2"/>
      </w:pPr>
      <w:r w:rsidRPr="000F3632">
        <w:t>expenditure report mismatches</w:t>
      </w:r>
    </w:p>
    <w:p w:rsidR="00000000" w:rsidRPr="000F3632" w:rsidP="000F3632">
      <w:pPr>
        <w:pStyle w:val="ListBullet2"/>
      </w:pPr>
      <w:r w:rsidRPr="000F3632">
        <w:t>incorrect payments and unreconciled cash flows</w:t>
      </w:r>
    </w:p>
    <w:p w:rsidR="00000000" w:rsidRPr="000F3632" w:rsidP="000F3632">
      <w:pPr>
        <w:pStyle w:val="ListBullet"/>
      </w:pPr>
      <w:r w:rsidRPr="000F3632">
        <w:t>techniques used for financial forecasting and analysis</w:t>
      </w:r>
    </w:p>
    <w:p w:rsidR="00000000" w:rsidRPr="000F3632" w:rsidP="000F3632">
      <w:pPr>
        <w:pStyle w:val="ListBullet"/>
      </w:pPr>
      <w:r w:rsidRPr="000F3632">
        <w:t>options, methods and practices for deductions, benefits and depreciations</w:t>
      </w:r>
    </w:p>
    <w:p w:rsidR="00000000" w:rsidRPr="000F3632" w:rsidP="000F3632">
      <w:pPr>
        <w:pStyle w:val="ListBullet"/>
      </w:pPr>
      <w:r w:rsidRPr="000F3632">
        <w:t>ethical requirements associated with preparing financial reports for corporate entities, including conflict of interest, confid</w:t>
      </w:r>
      <w:r w:rsidRPr="000F3632">
        <w:t>entiality, and disclosure requirements</w:t>
      </w:r>
    </w:p>
    <w:p w:rsidR="00000000" w:rsidRPr="000F3632" w:rsidP="000F3632">
      <w:pPr>
        <w:pStyle w:val="ListBullet"/>
      </w:pPr>
      <w:r w:rsidRPr="000F3632">
        <w:t>industry-standard methods and formats used to present financial data.</w:t>
      </w:r>
    </w:p>
    <w:p w:rsidR="00000000" w:rsidRPr="000F3632" w:rsidP="000F3632">
      <w:pPr>
        <w:pStyle w:val="AllowPageBreak"/>
      </w:pPr>
    </w:p>
    <w:p w:rsidR="00000000" w:rsidRPr="000F3632" w:rsidP="000F3632">
      <w:pPr>
        <w:pStyle w:val="Heading1"/>
      </w:pPr>
      <w:bookmarkStart w:id="4" w:name="O_1119353"/>
      <w:bookmarkEnd w:id="4"/>
      <w:r w:rsidRPr="000F3632">
        <w:t>Assessment Conditions</w:t>
      </w:r>
    </w:p>
    <w:p w:rsidR="00000000" w:rsidRPr="000F3632" w:rsidP="00C516DE">
      <w:pPr>
        <w:pStyle w:val="BodyText"/>
      </w:pPr>
      <w:r w:rsidRPr="000F3632">
        <w:t xml:space="preserve">Skills in this unit must be demonstrated in a workplace or simulated environment where the conditions are </w:t>
      </w:r>
      <w:r w:rsidRPr="000F3632">
        <w:t xml:space="preserve">typical of those in a working environment in this industry. </w:t>
      </w:r>
    </w:p>
    <w:p w:rsidR="00000000" w:rsidRPr="000F3632" w:rsidP="00C516DE">
      <w:pPr>
        <w:pStyle w:val="BodyText"/>
      </w:pPr>
      <w:r w:rsidRPr="000F3632">
        <w:t>This includes access to:</w:t>
      </w:r>
    </w:p>
    <w:p w:rsidR="00000000" w:rsidRPr="000F3632" w:rsidP="000F3632">
      <w:pPr>
        <w:pStyle w:val="ListBullet"/>
      </w:pPr>
      <w:r w:rsidRPr="000F3632">
        <w:t>accounting software</w:t>
      </w:r>
    </w:p>
    <w:p w:rsidR="00000000" w:rsidRPr="000F3632" w:rsidP="000F3632">
      <w:pPr>
        <w:pStyle w:val="ListBullet"/>
      </w:pPr>
      <w:r w:rsidRPr="000F3632">
        <w:t xml:space="preserve">financial reporting legislation, regulations, standards and codes of practice </w:t>
      </w:r>
    </w:p>
    <w:p w:rsidR="00000000" w:rsidRPr="000F3632" w:rsidP="000F3632">
      <w:pPr>
        <w:pStyle w:val="ListBullet"/>
      </w:pPr>
      <w:r w:rsidRPr="000F3632">
        <w:t xml:space="preserve">samples of financial data, reports and documents </w:t>
      </w:r>
    </w:p>
    <w:p w:rsidR="00000000" w:rsidRPr="000F3632" w:rsidP="000F3632">
      <w:pPr>
        <w:pStyle w:val="ListBullet"/>
      </w:pPr>
      <w:r w:rsidRPr="000F3632">
        <w:t xml:space="preserve">workplace reference </w:t>
      </w:r>
      <w:r w:rsidRPr="000F3632">
        <w:t>materials including procedural manuals and company policies.</w:t>
      </w:r>
    </w:p>
    <w:p w:rsidR="00000000" w:rsidRPr="000F3632" w:rsidP="000F3632">
      <w:pPr>
        <w:pStyle w:val="BodyText"/>
      </w:pPr>
    </w:p>
    <w:p w:rsidR="00000000" w:rsidRPr="000F3632" w:rsidP="00C516DE">
      <w:pPr>
        <w:pStyle w:val="BodyText"/>
      </w:pPr>
      <w:r w:rsidRPr="000F3632">
        <w:t>Assessors of this unit must satisfy the requirements for assessors in applicable vocational education and training legislation, frameworks and/or standards.</w:t>
      </w:r>
    </w:p>
    <w:p w:rsidR="00000000" w:rsidRPr="000F3632" w:rsidP="000F3632">
      <w:pPr>
        <w:pStyle w:val="Heading1"/>
      </w:pPr>
      <w:bookmarkStart w:id="5" w:name="O_1119351"/>
      <w:bookmarkEnd w:id="5"/>
      <w:r w:rsidRPr="000F3632">
        <w:t>Links</w:t>
      </w:r>
    </w:p>
    <w:p w:rsidR="00000000" w:rsidRPr="000F3632" w:rsidP="00C516DE">
      <w:pPr>
        <w:pStyle w:val="BodyText"/>
      </w:pPr>
      <w:r w:rsidRPr="000F363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3DB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F3632" w:rsidP="000F3632"/>
    <w:sectPr w:rsidSect="000F36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32" w:rsidRPr="00C516DE" w:rsidP="00C516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6DE" w:rsidP="000F36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16DE" w:rsidP="000F36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16DE" w:rsidP="000F36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6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3632" w:rsidRPr="00C516DE" w:rsidP="00C516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6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6DE" w:rsidRPr="002D2AF8" w:rsidP="000F36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BSBFIN401 Report on financial activity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516DE" w:rsidP="000F36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287C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58D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2E4D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6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36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36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36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36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36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36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36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36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36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36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3632"/>
  </w:style>
  <w:style w:type="character" w:customStyle="1" w:styleId="Heading1Char">
    <w:name w:val="Heading 1 Char"/>
    <w:basedOn w:val="DefaultParagraphFont"/>
    <w:link w:val="Heading1"/>
    <w:rsid w:val="000F36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36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36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363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3632"/>
    <w:rPr>
      <w:b/>
      <w:spacing w:val="0"/>
    </w:rPr>
  </w:style>
  <w:style w:type="paragraph" w:styleId="ListBullet2">
    <w:name w:val="List Bullet 2"/>
    <w:basedOn w:val="List2"/>
    <w:rsid w:val="000F363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36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36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36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36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36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3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36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3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36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36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36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36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36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36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36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36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36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36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36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36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36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36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36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36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36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36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36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36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36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36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36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36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36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36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3632"/>
    <w:rPr>
      <w:i/>
    </w:rPr>
  </w:style>
  <w:style w:type="paragraph" w:styleId="Caption">
    <w:name w:val="caption"/>
    <w:basedOn w:val="BodyText"/>
    <w:next w:val="Normal"/>
    <w:qFormat/>
    <w:rsid w:val="000F36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36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36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3632"/>
  </w:style>
  <w:style w:type="paragraph" w:styleId="TableofFigures">
    <w:name w:val="table of figures"/>
    <w:basedOn w:val="Normal"/>
    <w:next w:val="Normal"/>
    <w:semiHidden/>
    <w:rsid w:val="000F36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36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3632"/>
    <w:rPr>
      <w:rFonts w:ascii="Wingdings" w:hAnsi="Wingdings"/>
    </w:rPr>
  </w:style>
  <w:style w:type="paragraph" w:customStyle="1" w:styleId="TableHeading">
    <w:name w:val="Table Heading"/>
    <w:basedOn w:val="HeadingBase"/>
    <w:rsid w:val="000F36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3632"/>
    <w:rPr>
      <w:color w:val="0033CC"/>
      <w:u w:val="none"/>
    </w:rPr>
  </w:style>
  <w:style w:type="paragraph" w:customStyle="1" w:styleId="BodyTextRight">
    <w:name w:val="Body Text Right"/>
    <w:basedOn w:val="BodyText"/>
    <w:rsid w:val="000F36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36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36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36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36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36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3632"/>
    <w:rPr>
      <w:sz w:val="32"/>
    </w:rPr>
  </w:style>
  <w:style w:type="paragraph" w:customStyle="1" w:styleId="HeadingProcedure">
    <w:name w:val="Heading Procedure"/>
    <w:basedOn w:val="HeadingBase"/>
    <w:next w:val="Normal"/>
    <w:rsid w:val="000F36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3632"/>
    <w:pPr>
      <w:spacing w:before="60" w:after="60"/>
    </w:pPr>
  </w:style>
  <w:style w:type="paragraph" w:styleId="ListContinue">
    <w:name w:val="List Continue"/>
    <w:basedOn w:val="List"/>
    <w:rsid w:val="000F3632"/>
    <w:pPr>
      <w:ind w:firstLine="0"/>
    </w:pPr>
  </w:style>
  <w:style w:type="paragraph" w:customStyle="1" w:styleId="ListNote">
    <w:name w:val="List Note"/>
    <w:basedOn w:val="List"/>
    <w:rsid w:val="000F36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36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36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3632"/>
    <w:rPr>
      <w:rFonts w:ascii="Courier New" w:hAnsi="Courier New"/>
    </w:rPr>
  </w:style>
  <w:style w:type="paragraph" w:customStyle="1" w:styleId="NoteBullet">
    <w:name w:val="Note Bullet"/>
    <w:basedOn w:val="Note"/>
    <w:rsid w:val="000F36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36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36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36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36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36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36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3632"/>
    <w:rPr>
      <w:b/>
      <w:smallCaps/>
    </w:rPr>
  </w:style>
  <w:style w:type="paragraph" w:customStyle="1" w:styleId="TableListNumber">
    <w:name w:val="Table List Number"/>
    <w:basedOn w:val="ListNumber"/>
    <w:rsid w:val="000F36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36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3632"/>
    <w:pPr>
      <w:numPr>
        <w:numId w:val="9"/>
      </w:numPr>
    </w:pPr>
  </w:style>
  <w:style w:type="paragraph" w:customStyle="1" w:styleId="ListAlpha2">
    <w:name w:val="List Alpha 2"/>
    <w:basedOn w:val="List2"/>
    <w:rsid w:val="000F3632"/>
    <w:pPr>
      <w:numPr>
        <w:numId w:val="8"/>
      </w:numPr>
    </w:pPr>
  </w:style>
  <w:style w:type="paragraph" w:styleId="List2">
    <w:name w:val="List 2"/>
    <w:basedOn w:val="BodyText"/>
    <w:rsid w:val="000F36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36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36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36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36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36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3632"/>
    <w:pPr>
      <w:numPr>
        <w:numId w:val="4"/>
      </w:numPr>
    </w:pPr>
  </w:style>
  <w:style w:type="paragraph" w:styleId="ListContinue2">
    <w:name w:val="List Continue 2"/>
    <w:basedOn w:val="List2"/>
    <w:rsid w:val="000F3632"/>
    <w:pPr>
      <w:ind w:firstLine="0"/>
    </w:pPr>
  </w:style>
  <w:style w:type="paragraph" w:styleId="ListContinue3">
    <w:name w:val="List Continue 3"/>
    <w:basedOn w:val="List3"/>
    <w:rsid w:val="000F3632"/>
    <w:pPr>
      <w:ind w:left="1021" w:firstLine="0"/>
    </w:pPr>
  </w:style>
  <w:style w:type="paragraph" w:styleId="ListContinue4">
    <w:name w:val="List Continue 4"/>
    <w:basedOn w:val="List4"/>
    <w:rsid w:val="000F3632"/>
    <w:pPr>
      <w:ind w:firstLine="0"/>
    </w:pPr>
  </w:style>
  <w:style w:type="paragraph" w:styleId="ListContinue5">
    <w:name w:val="List Continue 5"/>
    <w:basedOn w:val="List5"/>
    <w:rsid w:val="000F3632"/>
    <w:pPr>
      <w:ind w:firstLine="0"/>
    </w:pPr>
  </w:style>
  <w:style w:type="paragraph" w:styleId="ListNumber3">
    <w:name w:val="List Number 3"/>
    <w:basedOn w:val="List3"/>
    <w:rsid w:val="000F3632"/>
    <w:pPr>
      <w:numPr>
        <w:numId w:val="5"/>
      </w:numPr>
    </w:pPr>
  </w:style>
  <w:style w:type="paragraph" w:styleId="ListNumber4">
    <w:name w:val="List Number 4"/>
    <w:basedOn w:val="List4"/>
    <w:rsid w:val="000F3632"/>
    <w:pPr>
      <w:numPr>
        <w:numId w:val="6"/>
      </w:numPr>
    </w:pPr>
  </w:style>
  <w:style w:type="paragraph" w:styleId="ListNumber5">
    <w:name w:val="List Number 5"/>
    <w:basedOn w:val="List5"/>
    <w:rsid w:val="000F3632"/>
    <w:pPr>
      <w:numPr>
        <w:numId w:val="7"/>
      </w:numPr>
    </w:pPr>
  </w:style>
  <w:style w:type="paragraph" w:styleId="BlockText">
    <w:name w:val="Block Text"/>
    <w:basedOn w:val="Normal"/>
    <w:rsid w:val="000F36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36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3632"/>
    <w:rPr>
      <w:sz w:val="16"/>
      <w:vertAlign w:val="superscript"/>
    </w:rPr>
  </w:style>
  <w:style w:type="character" w:customStyle="1" w:styleId="Symbols">
    <w:name w:val="Symbols"/>
    <w:basedOn w:val="DefaultParagraphFont"/>
    <w:rsid w:val="000F3632"/>
    <w:rPr>
      <w:rFonts w:ascii="Symbol" w:hAnsi="Symbol"/>
    </w:rPr>
  </w:style>
  <w:style w:type="character" w:customStyle="1" w:styleId="MenuOptions">
    <w:name w:val="Menu Options"/>
    <w:basedOn w:val="DefaultParagraphFont"/>
    <w:rsid w:val="000F36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3632"/>
    <w:rPr>
      <w:b/>
    </w:rPr>
  </w:style>
  <w:style w:type="character" w:customStyle="1" w:styleId="Underlined">
    <w:name w:val="Underlined"/>
    <w:basedOn w:val="DefaultParagraphFont"/>
    <w:rsid w:val="000F3632"/>
    <w:rPr>
      <w:u w:val="single"/>
    </w:rPr>
  </w:style>
  <w:style w:type="paragraph" w:customStyle="1" w:styleId="TableBodyTextRight">
    <w:name w:val="Table Body Text Right"/>
    <w:basedOn w:val="TableBodyText"/>
    <w:rsid w:val="000F36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3632"/>
    <w:rPr>
      <w:sz w:val="18"/>
    </w:rPr>
  </w:style>
  <w:style w:type="paragraph" w:customStyle="1" w:styleId="BodySmallRight">
    <w:name w:val="Body Small Right"/>
    <w:basedOn w:val="BodyTextRight"/>
    <w:rsid w:val="000F3632"/>
    <w:rPr>
      <w:sz w:val="18"/>
      <w:szCs w:val="18"/>
    </w:rPr>
  </w:style>
  <w:style w:type="paragraph" w:customStyle="1" w:styleId="MarginEdition">
    <w:name w:val="Margin Edition"/>
    <w:basedOn w:val="MarginNote"/>
    <w:rsid w:val="000F36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3632"/>
    <w:rPr>
      <w:sz w:val="2"/>
      <w:szCs w:val="2"/>
    </w:rPr>
  </w:style>
  <w:style w:type="character" w:customStyle="1" w:styleId="Small">
    <w:name w:val="Small"/>
    <w:basedOn w:val="DefaultParagraphFont"/>
    <w:rsid w:val="000F3632"/>
    <w:rPr>
      <w:sz w:val="16"/>
    </w:rPr>
  </w:style>
  <w:style w:type="paragraph" w:customStyle="1" w:styleId="WideTable">
    <w:name w:val="Wide Table"/>
    <w:basedOn w:val="Normal"/>
    <w:rsid w:val="000F36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3632"/>
  </w:style>
  <w:style w:type="paragraph" w:styleId="Quote">
    <w:name w:val="Quote"/>
    <w:basedOn w:val="Heading1"/>
    <w:link w:val="QuoteChar"/>
    <w:qFormat/>
    <w:rsid w:val="000F36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36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3632"/>
    <w:pPr>
      <w:pageBreakBefore/>
    </w:pPr>
  </w:style>
  <w:style w:type="paragraph" w:customStyle="1" w:styleId="Border">
    <w:name w:val="Border"/>
    <w:basedOn w:val="Normal"/>
    <w:qFormat/>
    <w:rsid w:val="000F36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36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36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36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36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36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36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36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36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3632"/>
    <w:rPr>
      <w:u w:val="single"/>
    </w:rPr>
  </w:style>
  <w:style w:type="character" w:customStyle="1" w:styleId="BoldandItalics">
    <w:name w:val="Bold and Italics"/>
    <w:qFormat/>
    <w:rsid w:val="000F3632"/>
    <w:rPr>
      <w:b/>
      <w:i/>
      <w:u w:val="none"/>
    </w:rPr>
  </w:style>
  <w:style w:type="paragraph" w:styleId="BalloonText">
    <w:name w:val="Balloon Text"/>
    <w:basedOn w:val="Normal"/>
    <w:link w:val="BalloonTextChar"/>
    <w:rsid w:val="000F36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36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36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36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36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36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3632"/>
    <w:pPr>
      <w:spacing w:before="0" w:after="0"/>
    </w:pPr>
  </w:style>
  <w:style w:type="paragraph" w:customStyle="1" w:styleId="BodyTextBold">
    <w:name w:val="Body Text Bold"/>
    <w:basedOn w:val="BodyText"/>
    <w:qFormat/>
    <w:rsid w:val="000F3632"/>
    <w:rPr>
      <w:b/>
    </w:rPr>
  </w:style>
  <w:style w:type="character" w:styleId="Hyperlink">
    <w:name w:val="Hyperlink"/>
    <w:basedOn w:val="DefaultParagraphFont"/>
    <w:uiPriority w:val="99"/>
    <w:unhideWhenUsed/>
    <w:rsid w:val="00C516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396</Words>
  <Characters>2776</Characters>
  <Application>Microsoft Office Word</Application>
  <DocSecurity>0</DocSecurity>
  <Lines>75</Lines>
  <Paragraphs>60</Paragraphs>
  <ScaleCrop>false</ScaleCrop>
  <Company>Author-it Software Corporation Ltd.</Company>
  <LinksUpToDate>false</LinksUpToDate>
  <CharactersWithSpaces>3112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BSBFIN401 Report on financial activity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