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E4F" w:rsidP="00526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BSBESB305 Address compliance requirements for new business ventures</w:t>
      </w:r>
      <w:r>
        <w:fldChar w:fldCharType="end"/>
      </w:r>
    </w:p>
    <w:p w:rsidR="00526E4F" w:rsidP="00526E4F">
      <w:pPr>
        <w:pStyle w:val="Version"/>
        <w:sectPr w:rsidSect="00DA3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275" w:rsidP="00DA3275">
      <w:pPr>
        <w:pStyle w:val="SuperHeading"/>
      </w:pPr>
      <w:r w:rsidRPr="00DA3275">
        <w:t>Assessment Requirements for BSBESB305 Address compliance requirements for new business ventures</w:t>
      </w:r>
    </w:p>
    <w:p w:rsidR="00000000" w:rsidRPr="00DA3275" w:rsidP="00DA3275">
      <w:pPr>
        <w:pStyle w:val="Heading1"/>
      </w:pPr>
      <w:bookmarkStart w:id="1" w:name="O_1119192"/>
      <w:bookmarkEnd w:id="1"/>
      <w:r w:rsidRPr="00DA327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A327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75" w:rsidP="00DA3275">
            <w:pPr>
              <w:pStyle w:val="BodyText"/>
            </w:pPr>
            <w:r w:rsidRPr="00DA3275">
              <w:rPr>
                <w:rStyle w:val="SpecialBold"/>
              </w:rPr>
              <w:t>Release</w:t>
            </w:r>
            <w:r w:rsidRPr="00DA327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75">
            <w:pPr>
              <w:pStyle w:val="BodyText"/>
              <w:rPr>
                <w:lang w:val="en-NZ"/>
              </w:rPr>
            </w:pPr>
            <w:r w:rsidRPr="00DA3275">
              <w:rPr>
                <w:rStyle w:val="SpecialBold"/>
              </w:rPr>
              <w:t>Comments</w:t>
            </w:r>
            <w:r w:rsidRPr="00DA3275">
              <w:t> </w:t>
            </w:r>
          </w:p>
        </w:tc>
      </w:tr>
      <w:tr w:rsidTr="00DA327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75">
            <w:pPr>
              <w:pStyle w:val="BodyText"/>
              <w:rPr>
                <w:lang w:val="en-NZ"/>
              </w:rPr>
            </w:pPr>
            <w:r w:rsidRPr="00DA327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75" w:rsidP="00DA3275">
            <w:pPr>
              <w:pStyle w:val="BodyText"/>
            </w:pPr>
            <w:r w:rsidRPr="00DA3275">
              <w:t>This version first released with BSB Business Services Training Package Version 7.0.</w:t>
            </w:r>
          </w:p>
        </w:tc>
      </w:tr>
    </w:tbl>
    <w:p w:rsidR="00000000" w:rsidRPr="00DA3275" w:rsidP="00DA3275">
      <w:pPr>
        <w:pStyle w:val="BodyText"/>
      </w:pPr>
    </w:p>
    <w:p w:rsidR="00000000" w:rsidRPr="00DA3275" w:rsidP="00DA3275">
      <w:pPr>
        <w:pStyle w:val="AllowPageBreak"/>
      </w:pPr>
    </w:p>
    <w:p w:rsidR="00000000" w:rsidRPr="00DA3275" w:rsidP="00DA3275">
      <w:pPr>
        <w:pStyle w:val="Heading1"/>
      </w:pPr>
      <w:bookmarkStart w:id="2" w:name="O_1119195"/>
      <w:bookmarkEnd w:id="2"/>
      <w:r w:rsidRPr="00DA3275">
        <w:t>Performance Evidence</w:t>
      </w:r>
    </w:p>
    <w:p w:rsidR="00000000" w:rsidRPr="00DA3275" w:rsidP="00526E4F">
      <w:pPr>
        <w:pStyle w:val="BodyText"/>
      </w:pPr>
      <w:r w:rsidRPr="00DA3275">
        <w:t>The candidate must demonstrate the ability to complete the tasks outlined in the elements, performance criteria and foundation skills of this unit, including evidence of the ability to:</w:t>
      </w:r>
    </w:p>
    <w:p w:rsidR="00000000" w:rsidRPr="00DA3275" w:rsidP="00DA3275">
      <w:pPr>
        <w:pStyle w:val="ListBullet"/>
      </w:pPr>
      <w:r w:rsidRPr="00DA3275">
        <w:t>implement procedures to addres</w:t>
      </w:r>
      <w:r w:rsidRPr="00DA3275">
        <w:t>s at least two different compliance requirements for a business or new business venture.</w:t>
      </w:r>
    </w:p>
    <w:p w:rsidR="00000000" w:rsidRPr="00DA3275" w:rsidP="00526E4F">
      <w:pPr>
        <w:pStyle w:val="BodyText"/>
      </w:pPr>
      <w:r w:rsidRPr="00DA3275">
        <w:t>In the course of the above, the candidate must:</w:t>
      </w:r>
    </w:p>
    <w:p w:rsidR="00000000" w:rsidRPr="00DA3275" w:rsidP="00DA3275">
      <w:pPr>
        <w:pStyle w:val="ListBullet"/>
      </w:pPr>
      <w:r w:rsidRPr="00DA3275">
        <w:t>identify, select and access sources of advice on compliance and risk minimisation procedures</w:t>
      </w:r>
    </w:p>
    <w:p w:rsidR="00000000" w:rsidRPr="00DA3275" w:rsidP="00DA3275">
      <w:pPr>
        <w:pStyle w:val="ListBullet"/>
      </w:pPr>
      <w:r w:rsidRPr="00DA3275">
        <w:t>identify regulatory, taxation and insurance compliance requirements, and risk minimisation needs.</w:t>
      </w:r>
    </w:p>
    <w:p w:rsidR="00000000" w:rsidRPr="00DA3275" w:rsidP="00DA3275">
      <w:pPr>
        <w:pStyle w:val="AllowPageBreak"/>
      </w:pPr>
    </w:p>
    <w:p w:rsidR="00000000" w:rsidRPr="00DA3275" w:rsidP="00DA3275">
      <w:pPr>
        <w:pStyle w:val="Heading1"/>
      </w:pPr>
      <w:bookmarkStart w:id="3" w:name="O_1119194"/>
      <w:bookmarkEnd w:id="3"/>
      <w:r w:rsidRPr="00DA3275">
        <w:t>Knowledge Evidence</w:t>
      </w:r>
    </w:p>
    <w:p w:rsidR="00000000" w:rsidRPr="00DA3275" w:rsidP="00526E4F">
      <w:pPr>
        <w:pStyle w:val="BodyText"/>
      </w:pPr>
      <w:r w:rsidRPr="00DA3275">
        <w:t>The candidate must be able to demonstrate knowledge to complete the tasks outlined in the elements, performance criteria</w:t>
      </w:r>
      <w:r w:rsidRPr="00DA3275">
        <w:t xml:space="preserve"> and foundation skills of this unit, including knowledge of:</w:t>
      </w:r>
    </w:p>
    <w:p w:rsidR="00000000" w:rsidRPr="00DA3275" w:rsidP="00DA3275">
      <w:pPr>
        <w:pStyle w:val="ListBullet"/>
      </w:pPr>
      <w:r w:rsidRPr="00DA3275">
        <w:t>regulatory, taxation and insurance compliance information, and specialist advice and services in relation to operation of new business ventures, including:</w:t>
      </w:r>
    </w:p>
    <w:p w:rsidR="00000000" w:rsidRPr="00DA3275" w:rsidP="00DA3275">
      <w:pPr>
        <w:pStyle w:val="ListBullet2"/>
      </w:pPr>
      <w:r w:rsidRPr="00DA3275">
        <w:t>industry codes of practice and standa</w:t>
      </w:r>
      <w:r w:rsidRPr="00DA3275">
        <w:t>rds</w:t>
      </w:r>
    </w:p>
    <w:p w:rsidR="00000000" w:rsidRPr="00DA3275" w:rsidP="00DA3275">
      <w:pPr>
        <w:pStyle w:val="ListBullet2"/>
      </w:pPr>
      <w:r w:rsidRPr="00DA3275">
        <w:t>registration and licensing</w:t>
      </w:r>
    </w:p>
    <w:p w:rsidR="00000000" w:rsidRPr="00DA3275" w:rsidP="00DA3275">
      <w:pPr>
        <w:pStyle w:val="ListBullet2"/>
      </w:pPr>
      <w:r w:rsidRPr="00DA3275">
        <w:t>work health and safety (WHS) requirements and responsibilities</w:t>
      </w:r>
    </w:p>
    <w:p w:rsidR="00000000" w:rsidRPr="00DA3275" w:rsidP="00DA3275">
      <w:pPr>
        <w:pStyle w:val="ListBullet2"/>
      </w:pPr>
      <w:r w:rsidRPr="00DA3275">
        <w:t>required insurances</w:t>
      </w:r>
    </w:p>
    <w:p w:rsidR="00000000" w:rsidRPr="00DA3275" w:rsidP="00DA3275">
      <w:pPr>
        <w:pStyle w:val="ListBullet"/>
      </w:pPr>
      <w:r w:rsidRPr="00DA3275">
        <w:t>workplace procedures that support compliance of new business venture, including for:</w:t>
      </w:r>
    </w:p>
    <w:p w:rsidR="00000000" w:rsidRPr="00DA3275" w:rsidP="00DA3275">
      <w:pPr>
        <w:pStyle w:val="ListBullet2"/>
      </w:pPr>
      <w:r w:rsidRPr="00DA3275">
        <w:t>selecting and accessing specialist advice and services</w:t>
      </w:r>
    </w:p>
    <w:p w:rsidR="00000000" w:rsidRPr="00DA3275" w:rsidP="00DA3275">
      <w:pPr>
        <w:pStyle w:val="ListBullet2"/>
      </w:pPr>
      <w:r w:rsidRPr="00DA3275">
        <w:t>arranging business insurance cover</w:t>
      </w:r>
    </w:p>
    <w:p w:rsidR="00000000" w:rsidRPr="00DA3275" w:rsidP="00DA3275">
      <w:pPr>
        <w:pStyle w:val="ListBullet"/>
      </w:pPr>
      <w:r w:rsidRPr="00DA3275">
        <w:t>key components of compliance procedures:</w:t>
      </w:r>
    </w:p>
    <w:p w:rsidR="00000000" w:rsidRPr="00DA3275" w:rsidP="00DA3275">
      <w:pPr>
        <w:pStyle w:val="ListBullet2"/>
      </w:pPr>
      <w:r w:rsidRPr="00DA3275">
        <w:t>following taxation and industrial relations principles</w:t>
      </w:r>
    </w:p>
    <w:p w:rsidR="00000000" w:rsidRPr="00DA3275" w:rsidP="00DA3275">
      <w:pPr>
        <w:pStyle w:val="ListBullet2"/>
      </w:pPr>
      <w:r w:rsidRPr="00DA3275">
        <w:t>updating and maintaining legal documents</w:t>
      </w:r>
    </w:p>
    <w:p w:rsidR="00000000" w:rsidRPr="00DA3275" w:rsidP="00DA3275">
      <w:pPr>
        <w:pStyle w:val="ListBullet2"/>
      </w:pPr>
      <w:r w:rsidRPr="00DA3275">
        <w:t>investigating areas of non-compliance</w:t>
      </w:r>
    </w:p>
    <w:p w:rsidR="00000000" w:rsidRPr="00DA3275" w:rsidP="00DA3275">
      <w:pPr>
        <w:pStyle w:val="ListBullet2"/>
      </w:pPr>
      <w:r w:rsidRPr="00DA3275">
        <w:t>monitoring provision of products and/or serv</w:t>
      </w:r>
      <w:r w:rsidRPr="00DA3275">
        <w:t>ices</w:t>
      </w:r>
    </w:p>
    <w:p w:rsidR="00000000" w:rsidRPr="00DA3275" w:rsidP="00DA3275">
      <w:pPr>
        <w:pStyle w:val="ListBullet2"/>
      </w:pPr>
      <w:r w:rsidRPr="00DA3275">
        <w:t>taking corrective action where necessary.</w:t>
      </w:r>
    </w:p>
    <w:p w:rsidR="00000000" w:rsidRPr="00DA3275" w:rsidP="00DA3275">
      <w:pPr>
        <w:pStyle w:val="AllowPageBreak"/>
      </w:pPr>
    </w:p>
    <w:p w:rsidR="00000000" w:rsidRPr="00DA3275" w:rsidP="00DA3275">
      <w:pPr>
        <w:pStyle w:val="Heading1"/>
      </w:pPr>
      <w:bookmarkStart w:id="4" w:name="O_1119193"/>
      <w:bookmarkEnd w:id="4"/>
      <w:r w:rsidRPr="00DA3275">
        <w:t>Assessment Conditions</w:t>
      </w:r>
    </w:p>
    <w:p w:rsidR="00000000" w:rsidRPr="00DA3275" w:rsidP="00526E4F">
      <w:pPr>
        <w:pStyle w:val="BodyText"/>
      </w:pPr>
      <w:r w:rsidRPr="00DA3275">
        <w:t>Skills in this unit must be demonstrated in a workplace or simulated environment where the conditions are typical of those in a working environment in this industry.</w:t>
      </w:r>
    </w:p>
    <w:p w:rsidR="00000000" w:rsidRPr="00DA3275" w:rsidP="00526E4F">
      <w:pPr>
        <w:pStyle w:val="BodyText"/>
      </w:pPr>
      <w:r w:rsidRPr="00DA3275">
        <w:t>Th</w:t>
      </w:r>
      <w:r w:rsidRPr="00DA3275">
        <w:t>is includes access to:</w:t>
      </w:r>
    </w:p>
    <w:p w:rsidR="00000000" w:rsidRPr="00DA3275" w:rsidP="00DA3275">
      <w:pPr>
        <w:pStyle w:val="ListBullet"/>
      </w:pPr>
      <w:r w:rsidRPr="00DA3275">
        <w:t>business technology, including internet access for research</w:t>
      </w:r>
    </w:p>
    <w:p w:rsidR="00000000" w:rsidRPr="00DA3275" w:rsidP="00DA3275">
      <w:pPr>
        <w:pStyle w:val="ListBullet"/>
      </w:pPr>
      <w:r w:rsidRPr="00DA3275">
        <w:t>legislation, regulations, codes of practice and standards relating to compliance requirements described in performance evidence</w:t>
      </w:r>
    </w:p>
    <w:p w:rsidR="00000000" w:rsidRPr="00DA3275" w:rsidP="00DA3275">
      <w:pPr>
        <w:pStyle w:val="ListBullet"/>
      </w:pPr>
      <w:r w:rsidRPr="00DA3275">
        <w:t>workplace procedures and resources relevant to performance evidence.</w:t>
      </w:r>
    </w:p>
    <w:p w:rsidR="00000000" w:rsidRPr="00DA3275" w:rsidP="00DA3275">
      <w:pPr>
        <w:pStyle w:val="BodyText"/>
      </w:pPr>
    </w:p>
    <w:p w:rsidR="00000000" w:rsidRPr="00DA3275" w:rsidP="00526E4F">
      <w:pPr>
        <w:pStyle w:val="BodyText"/>
      </w:pPr>
      <w:r w:rsidRPr="00DA3275">
        <w:t>Assessors of this unit must satisfy the requirements for assessors in applicable vocational education and training legislation, frameworks and/or standards.</w:t>
      </w:r>
    </w:p>
    <w:p w:rsidR="00000000" w:rsidRPr="00DA3275" w:rsidP="00DA3275">
      <w:pPr>
        <w:pStyle w:val="Heading1"/>
      </w:pPr>
      <w:bookmarkStart w:id="5" w:name="O_1119191"/>
      <w:bookmarkEnd w:id="5"/>
      <w:r w:rsidRPr="00DA3275">
        <w:t>Links</w:t>
      </w:r>
    </w:p>
    <w:p w:rsidR="00000000" w:rsidRPr="00DA3275" w:rsidP="00526E4F">
      <w:pPr>
        <w:pStyle w:val="BodyText"/>
      </w:pPr>
      <w:r w:rsidRPr="00DA3275">
        <w:t>Comp</w:t>
      </w:r>
      <w:r w:rsidRPr="00DA3275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11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275" w:rsidP="00DA3275"/>
    <w:sectPr w:rsidSect="00DA3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75" w:rsidRPr="00526E4F" w:rsidP="00526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F" w:rsidP="00DA3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E4F" w:rsidP="00DA3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6E4F" w:rsidP="00DA3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275" w:rsidRPr="00526E4F" w:rsidP="00526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F" w:rsidRPr="002D2AF8" w:rsidP="00DA3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BSBESB305 Address compliance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6E4F" w:rsidP="00DA3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527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F6D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06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275"/>
  </w:style>
  <w:style w:type="character" w:customStyle="1" w:styleId="Heading1Char">
    <w:name w:val="Heading 1 Char"/>
    <w:basedOn w:val="DefaultParagraphFont"/>
    <w:link w:val="Heading1"/>
    <w:rsid w:val="00DA3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2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275"/>
    <w:rPr>
      <w:b/>
      <w:spacing w:val="0"/>
    </w:rPr>
  </w:style>
  <w:style w:type="paragraph" w:styleId="ListBullet2">
    <w:name w:val="List Bullet 2"/>
    <w:basedOn w:val="List2"/>
    <w:rsid w:val="00DA32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275"/>
    <w:rPr>
      <w:i/>
    </w:rPr>
  </w:style>
  <w:style w:type="paragraph" w:styleId="Caption">
    <w:name w:val="caption"/>
    <w:basedOn w:val="BodyText"/>
    <w:next w:val="Normal"/>
    <w:qFormat/>
    <w:rsid w:val="00DA3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275"/>
  </w:style>
  <w:style w:type="paragraph" w:styleId="TableofFigures">
    <w:name w:val="table of figures"/>
    <w:basedOn w:val="Normal"/>
    <w:next w:val="Normal"/>
    <w:semiHidden/>
    <w:rsid w:val="00DA3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275"/>
    <w:rPr>
      <w:rFonts w:ascii="Wingdings" w:hAnsi="Wingdings"/>
    </w:rPr>
  </w:style>
  <w:style w:type="paragraph" w:customStyle="1" w:styleId="TableHeading">
    <w:name w:val="Table Heading"/>
    <w:basedOn w:val="HeadingBase"/>
    <w:rsid w:val="00DA3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275"/>
    <w:rPr>
      <w:color w:val="0033CC"/>
      <w:u w:val="none"/>
    </w:rPr>
  </w:style>
  <w:style w:type="paragraph" w:customStyle="1" w:styleId="BodyTextRight">
    <w:name w:val="Body Text Right"/>
    <w:basedOn w:val="BodyText"/>
    <w:rsid w:val="00DA3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275"/>
    <w:rPr>
      <w:sz w:val="32"/>
    </w:rPr>
  </w:style>
  <w:style w:type="paragraph" w:customStyle="1" w:styleId="HeadingProcedure">
    <w:name w:val="Heading Procedure"/>
    <w:basedOn w:val="HeadingBase"/>
    <w:next w:val="Normal"/>
    <w:rsid w:val="00DA3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275"/>
    <w:pPr>
      <w:spacing w:before="60" w:after="60"/>
    </w:pPr>
  </w:style>
  <w:style w:type="paragraph" w:styleId="ListContinue">
    <w:name w:val="List Continue"/>
    <w:basedOn w:val="List"/>
    <w:rsid w:val="00DA3275"/>
    <w:pPr>
      <w:ind w:firstLine="0"/>
    </w:pPr>
  </w:style>
  <w:style w:type="paragraph" w:customStyle="1" w:styleId="ListNote">
    <w:name w:val="List Note"/>
    <w:basedOn w:val="List"/>
    <w:rsid w:val="00DA3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275"/>
    <w:rPr>
      <w:rFonts w:ascii="Courier New" w:hAnsi="Courier New"/>
    </w:rPr>
  </w:style>
  <w:style w:type="paragraph" w:customStyle="1" w:styleId="NoteBullet">
    <w:name w:val="Note Bullet"/>
    <w:basedOn w:val="Note"/>
    <w:rsid w:val="00DA3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275"/>
    <w:rPr>
      <w:b/>
      <w:smallCaps/>
    </w:rPr>
  </w:style>
  <w:style w:type="paragraph" w:customStyle="1" w:styleId="TableListNumber">
    <w:name w:val="Table List Number"/>
    <w:basedOn w:val="ListNumber"/>
    <w:rsid w:val="00DA3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275"/>
    <w:pPr>
      <w:numPr>
        <w:numId w:val="9"/>
      </w:numPr>
    </w:pPr>
  </w:style>
  <w:style w:type="paragraph" w:customStyle="1" w:styleId="ListAlpha2">
    <w:name w:val="List Alpha 2"/>
    <w:basedOn w:val="List2"/>
    <w:rsid w:val="00DA3275"/>
    <w:pPr>
      <w:numPr>
        <w:numId w:val="8"/>
      </w:numPr>
    </w:pPr>
  </w:style>
  <w:style w:type="paragraph" w:styleId="List2">
    <w:name w:val="List 2"/>
    <w:basedOn w:val="BodyText"/>
    <w:rsid w:val="00DA3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275"/>
    <w:pPr>
      <w:numPr>
        <w:numId w:val="4"/>
      </w:numPr>
    </w:pPr>
  </w:style>
  <w:style w:type="paragraph" w:styleId="ListContinue2">
    <w:name w:val="List Continue 2"/>
    <w:basedOn w:val="List2"/>
    <w:rsid w:val="00DA3275"/>
    <w:pPr>
      <w:ind w:firstLine="0"/>
    </w:pPr>
  </w:style>
  <w:style w:type="paragraph" w:styleId="ListContinue3">
    <w:name w:val="List Continue 3"/>
    <w:basedOn w:val="List3"/>
    <w:rsid w:val="00DA3275"/>
    <w:pPr>
      <w:ind w:left="1021" w:firstLine="0"/>
    </w:pPr>
  </w:style>
  <w:style w:type="paragraph" w:styleId="ListContinue4">
    <w:name w:val="List Continue 4"/>
    <w:basedOn w:val="List4"/>
    <w:rsid w:val="00DA3275"/>
    <w:pPr>
      <w:ind w:firstLine="0"/>
    </w:pPr>
  </w:style>
  <w:style w:type="paragraph" w:styleId="ListContinue5">
    <w:name w:val="List Continue 5"/>
    <w:basedOn w:val="List5"/>
    <w:rsid w:val="00DA3275"/>
    <w:pPr>
      <w:ind w:firstLine="0"/>
    </w:pPr>
  </w:style>
  <w:style w:type="paragraph" w:styleId="ListNumber3">
    <w:name w:val="List Number 3"/>
    <w:basedOn w:val="List3"/>
    <w:rsid w:val="00DA3275"/>
    <w:pPr>
      <w:numPr>
        <w:numId w:val="5"/>
      </w:numPr>
    </w:pPr>
  </w:style>
  <w:style w:type="paragraph" w:styleId="ListNumber4">
    <w:name w:val="List Number 4"/>
    <w:basedOn w:val="List4"/>
    <w:rsid w:val="00DA3275"/>
    <w:pPr>
      <w:numPr>
        <w:numId w:val="6"/>
      </w:numPr>
    </w:pPr>
  </w:style>
  <w:style w:type="paragraph" w:styleId="ListNumber5">
    <w:name w:val="List Number 5"/>
    <w:basedOn w:val="List5"/>
    <w:rsid w:val="00DA3275"/>
    <w:pPr>
      <w:numPr>
        <w:numId w:val="7"/>
      </w:numPr>
    </w:pPr>
  </w:style>
  <w:style w:type="paragraph" w:styleId="BlockText">
    <w:name w:val="Block Text"/>
    <w:basedOn w:val="Normal"/>
    <w:rsid w:val="00DA3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275"/>
    <w:rPr>
      <w:sz w:val="16"/>
      <w:vertAlign w:val="superscript"/>
    </w:rPr>
  </w:style>
  <w:style w:type="character" w:customStyle="1" w:styleId="Symbols">
    <w:name w:val="Symbols"/>
    <w:basedOn w:val="DefaultParagraphFont"/>
    <w:rsid w:val="00DA3275"/>
    <w:rPr>
      <w:rFonts w:ascii="Symbol" w:hAnsi="Symbol"/>
    </w:rPr>
  </w:style>
  <w:style w:type="character" w:customStyle="1" w:styleId="MenuOptions">
    <w:name w:val="Menu Options"/>
    <w:basedOn w:val="DefaultParagraphFont"/>
    <w:rsid w:val="00DA3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275"/>
    <w:rPr>
      <w:b/>
    </w:rPr>
  </w:style>
  <w:style w:type="character" w:customStyle="1" w:styleId="Underlined">
    <w:name w:val="Underlined"/>
    <w:basedOn w:val="DefaultParagraphFont"/>
    <w:rsid w:val="00DA3275"/>
    <w:rPr>
      <w:u w:val="single"/>
    </w:rPr>
  </w:style>
  <w:style w:type="paragraph" w:customStyle="1" w:styleId="TableBodyTextRight">
    <w:name w:val="Table Body Text Right"/>
    <w:basedOn w:val="TableBodyText"/>
    <w:rsid w:val="00DA3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275"/>
    <w:rPr>
      <w:sz w:val="18"/>
    </w:rPr>
  </w:style>
  <w:style w:type="paragraph" w:customStyle="1" w:styleId="BodySmallRight">
    <w:name w:val="Body Small Right"/>
    <w:basedOn w:val="BodyTextRight"/>
    <w:rsid w:val="00DA3275"/>
    <w:rPr>
      <w:sz w:val="18"/>
      <w:szCs w:val="18"/>
    </w:rPr>
  </w:style>
  <w:style w:type="paragraph" w:customStyle="1" w:styleId="MarginEdition">
    <w:name w:val="Margin Edition"/>
    <w:basedOn w:val="MarginNote"/>
    <w:rsid w:val="00DA3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275"/>
    <w:rPr>
      <w:sz w:val="2"/>
      <w:szCs w:val="2"/>
    </w:rPr>
  </w:style>
  <w:style w:type="character" w:customStyle="1" w:styleId="Small">
    <w:name w:val="Small"/>
    <w:basedOn w:val="DefaultParagraphFont"/>
    <w:rsid w:val="00DA3275"/>
    <w:rPr>
      <w:sz w:val="16"/>
    </w:rPr>
  </w:style>
  <w:style w:type="paragraph" w:customStyle="1" w:styleId="WideTable">
    <w:name w:val="Wide Table"/>
    <w:basedOn w:val="Normal"/>
    <w:rsid w:val="00DA3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275"/>
  </w:style>
  <w:style w:type="paragraph" w:styleId="Quote">
    <w:name w:val="Quote"/>
    <w:basedOn w:val="Heading1"/>
    <w:link w:val="QuoteChar"/>
    <w:qFormat/>
    <w:rsid w:val="00DA3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275"/>
    <w:pPr>
      <w:pageBreakBefore/>
    </w:pPr>
  </w:style>
  <w:style w:type="paragraph" w:customStyle="1" w:styleId="Border">
    <w:name w:val="Border"/>
    <w:basedOn w:val="Normal"/>
    <w:qFormat/>
    <w:rsid w:val="00DA3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275"/>
    <w:rPr>
      <w:u w:val="single"/>
    </w:rPr>
  </w:style>
  <w:style w:type="character" w:customStyle="1" w:styleId="BoldandItalics">
    <w:name w:val="Bold and Italics"/>
    <w:qFormat/>
    <w:rsid w:val="00DA3275"/>
    <w:rPr>
      <w:b/>
      <w:i/>
      <w:u w:val="none"/>
    </w:rPr>
  </w:style>
  <w:style w:type="paragraph" w:styleId="BalloonText">
    <w:name w:val="Balloon Text"/>
    <w:basedOn w:val="Normal"/>
    <w:link w:val="BalloonTextChar"/>
    <w:rsid w:val="00DA3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275"/>
    <w:pPr>
      <w:spacing w:before="0" w:after="0"/>
    </w:pPr>
  </w:style>
  <w:style w:type="paragraph" w:customStyle="1" w:styleId="BodyTextBold">
    <w:name w:val="Body Text Bold"/>
    <w:basedOn w:val="BodyText"/>
    <w:qFormat/>
    <w:rsid w:val="00DA3275"/>
    <w:rPr>
      <w:b/>
    </w:rPr>
  </w:style>
  <w:style w:type="character" w:styleId="Hyperlink">
    <w:name w:val="Hyperlink"/>
    <w:basedOn w:val="DefaultParagraphFont"/>
    <w:uiPriority w:val="99"/>
    <w:unhideWhenUsed/>
    <w:rsid w:val="00526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2449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BSBESB305 Address compliance requirements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