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DFF" w:rsidP="006F5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BSBCUE204 Collect data</w:t>
      </w:r>
      <w:r>
        <w:fldChar w:fldCharType="end"/>
      </w:r>
    </w:p>
    <w:p w:rsidR="006F5DFF" w:rsidP="006F5DFF">
      <w:pPr>
        <w:pStyle w:val="Version"/>
        <w:sectPr w:rsidSect="001D6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63C" w:rsidP="001D663C">
      <w:pPr>
        <w:pStyle w:val="SuperHeading"/>
      </w:pPr>
      <w:r w:rsidRPr="001D663C">
        <w:t>BSBCUE204 Collect data</w:t>
      </w:r>
    </w:p>
    <w:p w:rsidR="00000000" w:rsidRPr="001D663C" w:rsidP="001D663C">
      <w:pPr>
        <w:pStyle w:val="Heading1"/>
      </w:pPr>
      <w:bookmarkStart w:id="1" w:name="O_705137"/>
      <w:bookmarkEnd w:id="1"/>
      <w:r w:rsidRPr="001D6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rPr>
                <w:rStyle w:val="SpecialBold"/>
              </w:rPr>
              <w:t>Comments</w:t>
            </w:r>
          </w:p>
        </w:tc>
      </w:tr>
      <w:tr w:rsidTr="001D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This version first released with BSB Business Services Training Package Version 1.0.</w:t>
            </w:r>
          </w:p>
        </w:tc>
      </w:tr>
    </w:tbl>
    <w:p w:rsidR="00000000" w:rsidRPr="001D663C" w:rsidP="001D663C">
      <w:pPr>
        <w:pStyle w:val="BodyText"/>
      </w:pPr>
    </w:p>
    <w:p w:rsidR="00000000" w:rsidRPr="001D663C" w:rsidP="001D663C">
      <w:pPr>
        <w:pStyle w:val="AllowPageBreak"/>
      </w:pPr>
    </w:p>
    <w:p w:rsidR="00000000" w:rsidRPr="001D663C" w:rsidP="001D663C">
      <w:pPr>
        <w:pStyle w:val="Heading1"/>
      </w:pPr>
      <w:bookmarkStart w:id="2" w:name="O_705138"/>
      <w:bookmarkEnd w:id="2"/>
      <w:r w:rsidRPr="001D663C">
        <w:t>Application</w:t>
      </w:r>
    </w:p>
    <w:p w:rsidR="00000000" w:rsidRPr="001D663C" w:rsidP="006F5DFF">
      <w:pPr>
        <w:pStyle w:val="BodyText"/>
      </w:pPr>
      <w:r w:rsidRPr="001D663C">
        <w:t>This unit describes the skills and knowledge required to collect primary data for market research and opinion po</w:t>
      </w:r>
      <w:r w:rsidRPr="001D663C">
        <w:t>ll research activities by telephone or similar means within organisational guidelines.</w:t>
      </w:r>
    </w:p>
    <w:p w:rsidR="00000000" w:rsidRPr="001D663C" w:rsidP="006F5DFF">
      <w:pPr>
        <w:pStyle w:val="BodyText"/>
      </w:pPr>
      <w:r w:rsidRPr="001D663C">
        <w:t>It applies to individuals who perform a range of mainly routine tasks, using limited practical skills and fundamental operational knowledge and who work under some supe</w:t>
      </w:r>
      <w:r w:rsidRPr="001D663C">
        <w:t>rvision and guidance.</w:t>
      </w:r>
    </w:p>
    <w:p w:rsidR="00000000" w:rsidRPr="001D663C" w:rsidP="006F5DFF">
      <w:pPr>
        <w:pStyle w:val="BodyText"/>
      </w:pPr>
      <w:r w:rsidRPr="001D663C">
        <w:t xml:space="preserve">No licensing, legislative or certification requirements apply to this unit at the time of publication. </w:t>
      </w:r>
    </w:p>
    <w:p w:rsidR="00000000" w:rsidRPr="001D663C" w:rsidP="001D663C">
      <w:pPr>
        <w:pStyle w:val="Heading1"/>
      </w:pPr>
      <w:bookmarkStart w:id="3" w:name="O_705141"/>
      <w:bookmarkEnd w:id="3"/>
      <w:r w:rsidRPr="001D663C">
        <w:t>Unit Sector</w:t>
      </w:r>
    </w:p>
    <w:p w:rsidR="00000000" w:rsidRPr="001D663C" w:rsidP="006F5DFF">
      <w:pPr>
        <w:pStyle w:val="BodyText"/>
      </w:pPr>
      <w:r w:rsidRPr="001D663C">
        <w:t>Stakeholder Relations – Customer Engagement</w:t>
      </w:r>
    </w:p>
    <w:p w:rsidR="00000000" w:rsidRPr="001D663C" w:rsidP="001D663C">
      <w:pPr>
        <w:pStyle w:val="Heading1"/>
      </w:pPr>
      <w:bookmarkStart w:id="4" w:name="O_705142"/>
      <w:bookmarkEnd w:id="4"/>
      <w:r w:rsidRPr="001D66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66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rPr>
                <w:rStyle w:val="SpecialBold"/>
              </w:rPr>
              <w:t>PERFORMANCE CRITERIA</w:t>
            </w:r>
          </w:p>
        </w:tc>
      </w:tr>
      <w:tr w:rsidTr="001D66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66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1 Prepare for data collection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1.1 Study and clarify survey questions and engagement gui</w:t>
            </w:r>
            <w:r w:rsidRPr="001D663C">
              <w:t>de</w:t>
            </w:r>
          </w:p>
          <w:p w:rsidR="00000000" w:rsidRPr="001D663C" w:rsidP="001D663C">
            <w:pPr>
              <w:pStyle w:val="BodyText"/>
            </w:pPr>
            <w:r w:rsidRPr="001D663C">
              <w:t>1.2 Discuss operational boundaries and fulfilment processes with relevant personnel</w:t>
            </w:r>
          </w:p>
          <w:p w:rsidR="00000000" w:rsidRPr="001D663C" w:rsidP="001D663C">
            <w:pPr>
              <w:pStyle w:val="BodyText"/>
            </w:pPr>
            <w:r w:rsidRPr="001D663C">
              <w:t>1.3 Develop an understanding of relevant legislation, codes, regulations and standards that apply to engagement</w:t>
            </w:r>
          </w:p>
          <w:p w:rsidR="00000000" w:rsidRPr="001D663C" w:rsidP="001D663C">
            <w:pPr>
              <w:pStyle w:val="BodyText"/>
            </w:pPr>
            <w:r w:rsidRPr="001D663C">
              <w:t>1.4 Develop proficiency using the technology in place</w:t>
            </w:r>
          </w:p>
          <w:p w:rsidR="00000000" w:rsidRPr="001D663C" w:rsidP="001D663C">
            <w:pPr>
              <w:pStyle w:val="BodyText"/>
            </w:pPr>
            <w:r w:rsidRPr="001D663C">
              <w:t>1.5</w:t>
            </w:r>
            <w:r w:rsidRPr="001D663C">
              <w:t xml:space="preserve"> Identify source of engagement targets</w:t>
            </w:r>
          </w:p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1.6 Review and develop a clear understanding of the engagement strategy</w:t>
            </w:r>
          </w:p>
        </w:tc>
      </w:tr>
      <w:tr w:rsidTr="001D66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 xml:space="preserve">2 Conduct data collection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2.1 Make engagements in most efficient manner possible, following engagement guide within operational boundaries</w:t>
            </w:r>
          </w:p>
          <w:p w:rsidR="00000000" w:rsidRPr="001D663C" w:rsidP="001D663C">
            <w:pPr>
              <w:pStyle w:val="BodyText"/>
            </w:pPr>
            <w:r w:rsidRPr="001D663C">
              <w:t>2.2 Establish customer availability and willingness to participate in research</w:t>
            </w:r>
          </w:p>
          <w:p w:rsidR="00000000" w:rsidRPr="001D663C" w:rsidP="001D663C">
            <w:pPr>
              <w:pStyle w:val="BodyText"/>
            </w:pPr>
            <w:r w:rsidRPr="001D663C">
              <w:t>2.3 Inform customer of survey details, purpose and approximate time survey will take</w:t>
            </w:r>
          </w:p>
          <w:p w:rsidR="00000000" w:rsidRPr="001D663C" w:rsidP="001D663C">
            <w:pPr>
              <w:pStyle w:val="BodyText"/>
            </w:pPr>
            <w:r w:rsidRPr="001D663C">
              <w:t xml:space="preserve">2.4 Record customer responses </w:t>
            </w:r>
          </w:p>
          <w:p w:rsidR="00000000" w:rsidRPr="001D663C" w:rsidP="001D663C">
            <w:pPr>
              <w:pStyle w:val="BodyText"/>
            </w:pPr>
            <w:r w:rsidRPr="001D663C">
              <w:t>2.5 Answer customer queries or refer or escalate appropriatel</w:t>
            </w:r>
            <w:r w:rsidRPr="001D663C">
              <w:t xml:space="preserve">y </w:t>
            </w:r>
          </w:p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2.6 Observe relevant codes and regulations throughout engagement</w:t>
            </w:r>
          </w:p>
        </w:tc>
      </w:tr>
      <w:tr w:rsidTr="001D66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3 Record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3.1 Record outcomes and present results according to policy</w:t>
            </w:r>
          </w:p>
          <w:p w:rsidR="00000000" w:rsidRPr="001D663C" w:rsidP="001D663C">
            <w:pPr>
              <w:pStyle w:val="BodyText"/>
            </w:pPr>
            <w:r w:rsidRPr="001D663C">
              <w:t>3.2 Record, report and action difficulties encountered according to policy</w:t>
            </w:r>
          </w:p>
          <w:p w:rsidR="00000000" w:rsidRPr="001D663C" w:rsidP="001D663C">
            <w:pPr>
              <w:pStyle w:val="BodyText"/>
            </w:pPr>
            <w:r w:rsidRPr="001D663C">
              <w:t xml:space="preserve">3.3 Assess and analyse performance </w:t>
            </w:r>
            <w:r w:rsidRPr="001D663C">
              <w:t>against agreed targets</w:t>
            </w:r>
          </w:p>
          <w:p w:rsidR="00000000" w:rsidRPr="001D663C" w:rsidP="001D663C">
            <w:pPr>
              <w:pStyle w:val="BodyText"/>
            </w:pPr>
            <w:r w:rsidRPr="001D663C">
              <w:t>3.4 Amend database where applicable</w:t>
            </w:r>
          </w:p>
        </w:tc>
      </w:tr>
    </w:tbl>
    <w:p w:rsidR="00000000" w:rsidRPr="001D663C" w:rsidP="001D663C">
      <w:pPr>
        <w:pStyle w:val="BodyText"/>
      </w:pPr>
    </w:p>
    <w:p w:rsidR="00000000" w:rsidRPr="001D663C" w:rsidP="001D663C">
      <w:pPr>
        <w:pStyle w:val="AllowPageBreak"/>
      </w:pPr>
    </w:p>
    <w:p w:rsidR="00000000" w:rsidRPr="001D663C" w:rsidP="001D663C">
      <w:pPr>
        <w:pStyle w:val="Heading1"/>
      </w:pPr>
      <w:bookmarkStart w:id="5" w:name="O_705143"/>
      <w:bookmarkEnd w:id="5"/>
      <w:r w:rsidRPr="001D663C">
        <w:t>Foundation Skills</w:t>
      </w:r>
    </w:p>
    <w:p w:rsidR="00000000" w:rsidRPr="006F5DFF" w:rsidP="006F5DFF">
      <w:pPr>
        <w:pStyle w:val="BodyText"/>
        <w:rPr>
          <w:i/>
        </w:rPr>
      </w:pPr>
      <w:r w:rsidRPr="006F5D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Performance</w:t>
            </w:r>
          </w:p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rPr>
                <w:rStyle w:val="SpecialBold"/>
              </w:rPr>
              <w:t>Description</w:t>
            </w:r>
          </w:p>
        </w:tc>
      </w:tr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1.1, 1.3, 1.5, 1.6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ListBullet"/>
              <w:rPr>
                <w:lang w:val="en-NZ"/>
              </w:rPr>
            </w:pPr>
            <w:r w:rsidRPr="001D663C">
              <w:t>Recognises and interprets information from relevant sources to determine organisational expectations and legal requirements</w:t>
            </w:r>
          </w:p>
        </w:tc>
      </w:tr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2.1, 2.2, 2.4, 3.1, 3.2, 3.4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ListBullet"/>
              <w:rPr>
                <w:lang w:val="en-NZ"/>
              </w:rPr>
            </w:pPr>
            <w:r w:rsidRPr="001D663C">
              <w:t>Uses clear, specific and industry-related terminology to complete and update workplace documentation</w:t>
            </w:r>
          </w:p>
        </w:tc>
      </w:tr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1.1, 1.2, 2.1-2.3,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ListBullet"/>
            </w:pPr>
            <w:r w:rsidRPr="001D663C">
              <w:t xml:space="preserve">Articulates requirements clearly using specific and relevant language suitable to audience </w:t>
            </w:r>
          </w:p>
          <w:p w:rsidR="00000000" w:rsidP="001D663C">
            <w:pPr>
              <w:pStyle w:val="ListBullet"/>
              <w:rPr>
                <w:lang w:val="en-NZ"/>
              </w:rPr>
            </w:pPr>
            <w:r w:rsidRPr="001D663C">
              <w:t>Uses appropriate to</w:t>
            </w:r>
            <w:r w:rsidRPr="001D663C">
              <w:t xml:space="preserve">ne, pace, and listening and questioning techniques to confirm understanding </w:t>
            </w:r>
          </w:p>
        </w:tc>
      </w:tr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 xml:space="preserve">Navigate the </w:t>
            </w:r>
            <w:r w:rsidRPr="001D663C">
              <w:t xml:space="preserve">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1.3, 2.1, 2.6, 3.2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ListBullet"/>
            </w:pPr>
            <w:r w:rsidRPr="001D663C">
              <w:t xml:space="preserve">Recognises organisational expectations and follows </w:t>
            </w:r>
            <w:r w:rsidRPr="001D663C">
              <w:t>explicit protocols and procedures</w:t>
            </w:r>
          </w:p>
          <w:p w:rsidR="00000000" w:rsidP="001D663C">
            <w:pPr>
              <w:pStyle w:val="ListBullet"/>
              <w:rPr>
                <w:lang w:val="en-NZ"/>
              </w:rPr>
            </w:pPr>
            <w:r w:rsidRPr="001D663C">
              <w:t>Complies with legal and regulatory requirements in data collection tasks</w:t>
            </w:r>
          </w:p>
        </w:tc>
      </w:tr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2.1-2.3, 2.5,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ListBullet"/>
              <w:rPr>
                <w:lang w:val="en-NZ"/>
              </w:rPr>
            </w:pPr>
            <w:r w:rsidRPr="001D663C">
              <w:t>Follows instructions regarding what and how to communicate, following predetermined script</w:t>
            </w:r>
          </w:p>
        </w:tc>
      </w:tr>
      <w:tr w:rsidTr="001D66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1.4-1.6, 2.1, 2.2, 2.4-2.6, 3.3</w:t>
            </w:r>
            <w:r w:rsidRPr="001D663C">
              <w:t>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ListBullet"/>
            </w:pPr>
            <w:r w:rsidRPr="001D663C">
              <w:t>Plans and implements routine data-collection tasks with familiar goals and outcomes, taking some limited responsibility for decisions regarding sequencing, timing and need to refer to higher authority as required</w:t>
            </w:r>
          </w:p>
          <w:p w:rsidR="00000000" w:rsidRPr="001D663C" w:rsidP="001D663C">
            <w:pPr>
              <w:pStyle w:val="ListBullet"/>
            </w:pPr>
            <w:r w:rsidRPr="001D663C">
              <w:t>Analyses performance to decide if ta</w:t>
            </w:r>
            <w:r w:rsidRPr="001D663C">
              <w:t>rgets are being met</w:t>
            </w:r>
          </w:p>
          <w:p w:rsidR="00000000" w:rsidRPr="001D663C" w:rsidP="001D663C">
            <w:pPr>
              <w:pStyle w:val="ListBullet"/>
            </w:pPr>
            <w:r w:rsidRPr="001D663C">
              <w:t>Understands the purposes, specific functions and key features of common digital systems and tools and operates them effectively to complete data collection tasks</w:t>
            </w:r>
          </w:p>
        </w:tc>
      </w:tr>
    </w:tbl>
    <w:p w:rsidR="00000000" w:rsidRPr="001D663C" w:rsidP="001D663C">
      <w:pPr>
        <w:pStyle w:val="BodyText"/>
      </w:pPr>
    </w:p>
    <w:p w:rsidR="00000000" w:rsidRPr="001D663C" w:rsidP="001D663C">
      <w:pPr>
        <w:pStyle w:val="AllowPageBreak"/>
      </w:pPr>
    </w:p>
    <w:p w:rsidR="00000000" w:rsidRPr="001D663C" w:rsidP="001D663C">
      <w:pPr>
        <w:pStyle w:val="Heading1"/>
      </w:pPr>
      <w:bookmarkStart w:id="6" w:name="O_705145"/>
      <w:bookmarkEnd w:id="6"/>
      <w:r w:rsidRPr="001D66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D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 xml:space="preserve">Code and title </w:t>
            </w:r>
          </w:p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Code and title</w:t>
            </w:r>
          </w:p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rPr>
                <w:rStyle w:val="SpecialBold"/>
              </w:rPr>
              <w:t>Equivalence status</w:t>
            </w:r>
          </w:p>
        </w:tc>
      </w:tr>
      <w:tr w:rsidTr="001D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BSBCUE204 Collect data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BSBCCO204A Collect data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Updated to meet Standards for Training Packages</w:t>
            </w:r>
          </w:p>
          <w:p w:rsidR="00000000" w:rsidRPr="001D663C" w:rsidP="001D663C">
            <w:pPr>
              <w:pStyle w:val="BodyText"/>
            </w:pPr>
          </w:p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Equivalent unit</w:t>
            </w:r>
          </w:p>
        </w:tc>
      </w:tr>
    </w:tbl>
    <w:p w:rsidR="00000000" w:rsidRPr="001D663C" w:rsidP="001D663C">
      <w:pPr>
        <w:pStyle w:val="BodyText"/>
      </w:pPr>
    </w:p>
    <w:p w:rsidR="00000000" w:rsidRPr="001D663C" w:rsidP="001D663C">
      <w:pPr>
        <w:pStyle w:val="AllowPageBreak"/>
      </w:pPr>
    </w:p>
    <w:p w:rsidR="00000000" w:rsidRPr="001D663C" w:rsidP="001D663C">
      <w:pPr>
        <w:pStyle w:val="Heading1"/>
      </w:pPr>
      <w:bookmarkStart w:id="7" w:name="O_705152"/>
      <w:bookmarkEnd w:id="7"/>
      <w:r w:rsidRPr="001D663C">
        <w:t>Links</w:t>
      </w:r>
    </w:p>
    <w:p w:rsidR="00000000" w:rsidRPr="001D663C" w:rsidP="006F5DFF">
      <w:pPr>
        <w:pStyle w:val="BodyText"/>
      </w:pPr>
      <w:r w:rsidRPr="001D6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06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663C" w:rsidP="006F5DFF">
      <w:pPr>
        <w:pStyle w:val="BodyText"/>
        <w:sectPr w:rsidSect="001D66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63C" w:rsidP="001D663C">
      <w:pPr>
        <w:pStyle w:val="SuperHeading"/>
      </w:pPr>
      <w:r w:rsidRPr="001D663C">
        <w:t>Assessment Requirements for BSBCUE204 Collect data</w:t>
      </w:r>
    </w:p>
    <w:p w:rsidR="00000000" w:rsidRPr="001D663C" w:rsidP="001D663C">
      <w:pPr>
        <w:pStyle w:val="Heading1"/>
      </w:pPr>
      <w:bookmarkStart w:id="8" w:name="O_705147"/>
      <w:bookmarkEnd w:id="8"/>
      <w:r w:rsidRPr="001D6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rPr>
                <w:rStyle w:val="SpecialBold"/>
              </w:rPr>
              <w:t>Comments</w:t>
            </w:r>
          </w:p>
        </w:tc>
      </w:tr>
      <w:tr w:rsidTr="001D6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3C">
            <w:pPr>
              <w:pStyle w:val="BodyText"/>
              <w:rPr>
                <w:lang w:val="en-NZ"/>
              </w:rPr>
            </w:pPr>
            <w:r w:rsidRPr="001D663C">
              <w:t>Release 1</w:t>
            </w:r>
            <w:r w:rsidRPr="001D663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3C" w:rsidP="001D663C">
            <w:pPr>
              <w:pStyle w:val="BodyText"/>
            </w:pPr>
            <w:r w:rsidRPr="001D663C">
              <w:t>This version first released with Business Services Training Package Version 1.0.</w:t>
            </w:r>
          </w:p>
        </w:tc>
      </w:tr>
    </w:tbl>
    <w:p w:rsidR="00000000" w:rsidRPr="001D663C" w:rsidP="001D663C">
      <w:pPr>
        <w:pStyle w:val="BodyText"/>
      </w:pPr>
    </w:p>
    <w:p w:rsidR="00000000" w:rsidRPr="001D663C" w:rsidP="001D663C">
      <w:pPr>
        <w:pStyle w:val="AllowPageBreak"/>
      </w:pPr>
    </w:p>
    <w:p w:rsidR="00000000" w:rsidRPr="001D663C" w:rsidP="001D663C">
      <w:pPr>
        <w:pStyle w:val="Heading1"/>
      </w:pPr>
      <w:bookmarkStart w:id="9" w:name="O_705148"/>
      <w:bookmarkEnd w:id="9"/>
      <w:r w:rsidRPr="001D663C">
        <w:t>Performance Evidence</w:t>
      </w:r>
    </w:p>
    <w:p w:rsidR="00000000" w:rsidRPr="001D663C" w:rsidP="006F5DFF">
      <w:pPr>
        <w:pStyle w:val="BodyText"/>
      </w:pPr>
      <w:r w:rsidRPr="001D663C">
        <w:t>Evidence of the ability to:</w:t>
      </w:r>
    </w:p>
    <w:p w:rsidR="00000000" w:rsidRPr="001D663C" w:rsidP="001D663C">
      <w:pPr>
        <w:pStyle w:val="ListBullet"/>
      </w:pPr>
      <w:r w:rsidRPr="001D663C">
        <w:t>use prepared scripts and guides to engage custom</w:t>
      </w:r>
      <w:r w:rsidRPr="001D663C">
        <w:t xml:space="preserve">ers and collect data in compliance with organisational policy, industry codes and standards, and regulatory and legal requirements </w:t>
      </w:r>
    </w:p>
    <w:p w:rsidR="00000000" w:rsidRPr="001D663C" w:rsidP="001D663C">
      <w:pPr>
        <w:pStyle w:val="ListBullet"/>
      </w:pPr>
      <w:r w:rsidRPr="001D663C">
        <w:t xml:space="preserve">use digital systems and tools effectively and efficiently to record data and maintain databases </w:t>
      </w:r>
    </w:p>
    <w:p w:rsidR="00000000" w:rsidRPr="001D663C" w:rsidP="001D663C">
      <w:pPr>
        <w:pStyle w:val="ListBullet"/>
      </w:pPr>
      <w:r w:rsidRPr="001D663C">
        <w:t xml:space="preserve">present results and analyse performance against established targets.  </w:t>
      </w:r>
    </w:p>
    <w:p w:rsidR="00000000" w:rsidRPr="001D663C" w:rsidP="001D663C">
      <w:pPr>
        <w:pStyle w:val="BodyText"/>
      </w:pPr>
    </w:p>
    <w:p w:rsidR="00000000" w:rsidRPr="001D663C" w:rsidP="006F5DFF">
      <w:pPr>
        <w:pStyle w:val="BodyText"/>
      </w:pPr>
      <w:r w:rsidRPr="001D663C">
        <w:t>Note: If a specific volume or frequency is not stated, then evidence must be provided at least once.</w:t>
      </w:r>
    </w:p>
    <w:p w:rsidR="00000000" w:rsidRPr="001D663C" w:rsidP="001D663C">
      <w:pPr>
        <w:pStyle w:val="Heading1"/>
      </w:pPr>
      <w:bookmarkStart w:id="10" w:name="O_705149"/>
      <w:bookmarkEnd w:id="10"/>
      <w:r w:rsidRPr="001D663C">
        <w:t>Knowledge Evidence</w:t>
      </w:r>
    </w:p>
    <w:p w:rsidR="00000000" w:rsidRPr="001D663C" w:rsidP="006F5DFF">
      <w:pPr>
        <w:pStyle w:val="BodyText"/>
      </w:pPr>
      <w:r w:rsidRPr="001D663C">
        <w:t>To complete the unit requirements safely and ef</w:t>
      </w:r>
      <w:r w:rsidRPr="001D663C">
        <w:t>fectively, the individual must:</w:t>
      </w:r>
    </w:p>
    <w:p w:rsidR="00000000" w:rsidRPr="001D663C" w:rsidP="001D663C">
      <w:pPr>
        <w:pStyle w:val="ListBullet"/>
      </w:pPr>
      <w:r w:rsidRPr="001D663C">
        <w:t>describe data-collection techniques</w:t>
      </w:r>
    </w:p>
    <w:p w:rsidR="00000000" w:rsidRPr="001D663C" w:rsidP="001D663C">
      <w:pPr>
        <w:pStyle w:val="ListBullet"/>
      </w:pPr>
      <w:r w:rsidRPr="001D663C">
        <w:t>identify enterprise policies, procedures and guidelines for customer engagement and data collection</w:t>
      </w:r>
    </w:p>
    <w:p w:rsidR="00000000" w:rsidRPr="001D663C" w:rsidP="001D663C">
      <w:pPr>
        <w:pStyle w:val="ListBullet"/>
      </w:pPr>
      <w:r w:rsidRPr="001D663C">
        <w:t xml:space="preserve">identify relevant legal and regulatory requirements for data collection </w:t>
      </w:r>
    </w:p>
    <w:p w:rsidR="00000000" w:rsidRPr="001D663C" w:rsidP="001D663C">
      <w:pPr>
        <w:pStyle w:val="ListBullet"/>
      </w:pPr>
      <w:r w:rsidRPr="001D663C">
        <w:t>identify relev</w:t>
      </w:r>
      <w:r w:rsidRPr="001D663C">
        <w:t xml:space="preserve">ant standards for data collection </w:t>
      </w:r>
    </w:p>
    <w:p w:rsidR="00000000" w:rsidRPr="001D663C" w:rsidP="001D663C">
      <w:pPr>
        <w:pStyle w:val="ListBullet"/>
      </w:pPr>
      <w:r w:rsidRPr="001D663C">
        <w:t>explain operational systems and technology employed in data collection.</w:t>
      </w:r>
    </w:p>
    <w:p w:rsidR="00000000" w:rsidRPr="001D663C" w:rsidP="001D663C">
      <w:pPr>
        <w:pStyle w:val="AllowPageBreak"/>
      </w:pPr>
    </w:p>
    <w:p w:rsidR="00000000" w:rsidRPr="001D663C" w:rsidP="001D663C">
      <w:pPr>
        <w:pStyle w:val="Heading1"/>
      </w:pPr>
      <w:bookmarkStart w:id="11" w:name="O_705150"/>
      <w:bookmarkEnd w:id="11"/>
      <w:r w:rsidRPr="001D663C">
        <w:t>Assessment Conditions</w:t>
      </w:r>
    </w:p>
    <w:p w:rsidR="00000000" w:rsidRPr="001D663C" w:rsidP="006F5DFF">
      <w:pPr>
        <w:pStyle w:val="BodyText"/>
      </w:pPr>
      <w:r w:rsidRPr="001D663C">
        <w:t>Assessment must be conducted in a safe environment where evidence gathered demonstrates consistent performance</w:t>
      </w:r>
      <w:r w:rsidRPr="001D663C">
        <w:t xml:space="preserve"> of typical activities experienced in the stakeholder relations – customer engagement field of work and include access to:</w:t>
      </w:r>
    </w:p>
    <w:p w:rsidR="00000000" w:rsidRPr="001D663C" w:rsidP="001D663C">
      <w:pPr>
        <w:pStyle w:val="ListBullet"/>
      </w:pPr>
      <w:r w:rsidRPr="001D663C">
        <w:t>information and telecommunications equipment</w:t>
      </w:r>
    </w:p>
    <w:p w:rsidR="00000000" w:rsidRPr="001D663C" w:rsidP="001D663C">
      <w:pPr>
        <w:pStyle w:val="ListBullet"/>
      </w:pPr>
      <w:r w:rsidRPr="001D663C">
        <w:t>workplace information and data</w:t>
      </w:r>
    </w:p>
    <w:p w:rsidR="00000000" w:rsidRPr="001D663C" w:rsidP="001D663C">
      <w:pPr>
        <w:pStyle w:val="ListBullet"/>
      </w:pPr>
      <w:r w:rsidRPr="001D663C">
        <w:t>relevant standards and guidelines</w:t>
      </w:r>
    </w:p>
    <w:p w:rsidR="00000000" w:rsidRPr="001D663C" w:rsidP="001D663C">
      <w:pPr>
        <w:pStyle w:val="ListBullet"/>
      </w:pPr>
      <w:r w:rsidRPr="001D663C">
        <w:t>performance management</w:t>
      </w:r>
      <w:r w:rsidRPr="001D663C">
        <w:t xml:space="preserve"> and quality assurance documentation and records</w:t>
      </w:r>
    </w:p>
    <w:p w:rsidR="00000000" w:rsidRPr="001D663C" w:rsidP="001D663C">
      <w:pPr>
        <w:pStyle w:val="ListBullet"/>
      </w:pPr>
      <w:r w:rsidRPr="001D663C">
        <w:t xml:space="preserve">call/engagement guides. </w:t>
      </w:r>
    </w:p>
    <w:p w:rsidR="00000000" w:rsidRPr="001D663C" w:rsidP="001D663C">
      <w:pPr>
        <w:pStyle w:val="BodyText"/>
      </w:pPr>
    </w:p>
    <w:p w:rsidR="00000000" w:rsidRPr="001D663C" w:rsidP="006F5DFF">
      <w:pPr>
        <w:pStyle w:val="BodyText"/>
      </w:pPr>
      <w:r w:rsidRPr="001D663C">
        <w:t>Assessors must satisfy NVR/AQTF assessor requirements.</w:t>
      </w:r>
    </w:p>
    <w:p w:rsidR="00000000" w:rsidRPr="001D663C" w:rsidP="001D663C">
      <w:pPr>
        <w:pStyle w:val="Heading1"/>
      </w:pPr>
      <w:bookmarkStart w:id="12" w:name="O_705153"/>
      <w:bookmarkEnd w:id="12"/>
      <w:r w:rsidRPr="001D663C">
        <w:t>Links</w:t>
      </w:r>
    </w:p>
    <w:p w:rsidR="00000000" w:rsidRPr="001D663C" w:rsidP="006F5DFF">
      <w:pPr>
        <w:pStyle w:val="BodyText"/>
      </w:pPr>
      <w:r w:rsidRPr="001D6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06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663C" w:rsidP="001D663C"/>
    <w:sectPr w:rsidSect="001D66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 w:rsidRPr="006F5DFF" w:rsidP="006F5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FF" w:rsidP="001D6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DFF" w:rsidP="001D6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5DFF" w:rsidP="001D66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 w:rsidP="001D6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5DFF">
      <w:t>Approved</w:t>
    </w:r>
    <w:r w:rsidR="006F5D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5D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5DFF">
      <w:rPr>
        <w:noProof/>
      </w:rPr>
      <w:t>4</w:t>
    </w:r>
    <w:r>
      <w:rPr>
        <w:noProof/>
      </w:rPr>
      <w:fldChar w:fldCharType="end"/>
    </w:r>
  </w:p>
  <w:p w:rsidR="001D663C" w:rsidP="001D6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5D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5DFF">
      <w:t>Future Skills Organisation</w:t>
    </w:r>
    <w:r w:rsidR="006F5DFF">
      <w:fldChar w:fldCharType="end"/>
    </w:r>
  </w:p>
  <w:p w:rsidR="001D663C" w:rsidP="001D6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63C" w:rsidRPr="006F5DFF" w:rsidP="006F5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FF" w:rsidRPr="002D2AF8" w:rsidP="001D6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BSBCUE204 Collect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5DFF" w:rsidP="001D66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3C" w:rsidRPr="002D2AF8" w:rsidP="001D6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5DFF">
      <w:t>BSBCUE204 Collect data</w:t>
    </w:r>
    <w:r w:rsidR="006F5D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5DFF">
      <w:rPr>
        <w:noProof/>
      </w:rPr>
      <w:t>2 March 2025</w:t>
    </w:r>
    <w:r>
      <w:fldChar w:fldCharType="end"/>
    </w:r>
  </w:p>
  <w:p w:rsidR="001D663C" w:rsidP="001D6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2E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A7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63C"/>
  </w:style>
  <w:style w:type="character" w:customStyle="1" w:styleId="Heading1Char">
    <w:name w:val="Heading 1 Char"/>
    <w:basedOn w:val="DefaultParagraphFont"/>
    <w:link w:val="Heading1"/>
    <w:rsid w:val="001D6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6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63C"/>
    <w:rPr>
      <w:b/>
      <w:spacing w:val="0"/>
    </w:rPr>
  </w:style>
  <w:style w:type="character" w:styleId="Emphasis">
    <w:name w:val="Emphasis"/>
    <w:basedOn w:val="DefaultParagraphFont"/>
    <w:qFormat/>
    <w:rsid w:val="001D663C"/>
    <w:rPr>
      <w:i/>
    </w:rPr>
  </w:style>
  <w:style w:type="paragraph" w:customStyle="1" w:styleId="SuperHeading">
    <w:name w:val="SuperHeading"/>
    <w:basedOn w:val="Normal"/>
    <w:rsid w:val="001D6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6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6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63C"/>
  </w:style>
  <w:style w:type="paragraph" w:styleId="TableofFigures">
    <w:name w:val="table of figures"/>
    <w:basedOn w:val="Normal"/>
    <w:next w:val="Normal"/>
    <w:semiHidden/>
    <w:rsid w:val="001D6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6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63C"/>
    <w:rPr>
      <w:rFonts w:ascii="Wingdings" w:hAnsi="Wingdings"/>
    </w:rPr>
  </w:style>
  <w:style w:type="paragraph" w:customStyle="1" w:styleId="TableHeading">
    <w:name w:val="Table Heading"/>
    <w:basedOn w:val="HeadingBase"/>
    <w:rsid w:val="001D6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63C"/>
    <w:rPr>
      <w:color w:val="0033CC"/>
      <w:u w:val="none"/>
    </w:rPr>
  </w:style>
  <w:style w:type="paragraph" w:customStyle="1" w:styleId="BodyTextRight">
    <w:name w:val="Body Text Right"/>
    <w:basedOn w:val="BodyText"/>
    <w:rsid w:val="001D6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6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63C"/>
    <w:rPr>
      <w:sz w:val="32"/>
    </w:rPr>
  </w:style>
  <w:style w:type="paragraph" w:customStyle="1" w:styleId="HeadingProcedure">
    <w:name w:val="Heading Procedure"/>
    <w:basedOn w:val="HeadingBase"/>
    <w:next w:val="Normal"/>
    <w:rsid w:val="001D6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63C"/>
    <w:pPr>
      <w:spacing w:before="60" w:after="60"/>
    </w:pPr>
  </w:style>
  <w:style w:type="paragraph" w:styleId="ListContinue">
    <w:name w:val="List Continue"/>
    <w:basedOn w:val="List"/>
    <w:rsid w:val="001D663C"/>
    <w:pPr>
      <w:ind w:firstLine="0"/>
    </w:pPr>
  </w:style>
  <w:style w:type="paragraph" w:customStyle="1" w:styleId="ListNote">
    <w:name w:val="List Note"/>
    <w:basedOn w:val="List"/>
    <w:rsid w:val="001D6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63C"/>
    <w:rPr>
      <w:rFonts w:ascii="Courier New" w:hAnsi="Courier New"/>
    </w:rPr>
  </w:style>
  <w:style w:type="paragraph" w:customStyle="1" w:styleId="NoteBullet">
    <w:name w:val="Note Bullet"/>
    <w:basedOn w:val="Note"/>
    <w:rsid w:val="001D6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6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63C"/>
    <w:rPr>
      <w:b/>
      <w:smallCaps/>
    </w:rPr>
  </w:style>
  <w:style w:type="paragraph" w:customStyle="1" w:styleId="TableListNumber">
    <w:name w:val="Table List Number"/>
    <w:basedOn w:val="ListNumber"/>
    <w:rsid w:val="001D6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63C"/>
    <w:pPr>
      <w:numPr>
        <w:numId w:val="8"/>
      </w:numPr>
    </w:pPr>
  </w:style>
  <w:style w:type="paragraph" w:customStyle="1" w:styleId="ListAlpha2">
    <w:name w:val="List Alpha 2"/>
    <w:basedOn w:val="List2"/>
    <w:rsid w:val="001D663C"/>
    <w:pPr>
      <w:numPr>
        <w:numId w:val="7"/>
      </w:numPr>
    </w:pPr>
  </w:style>
  <w:style w:type="paragraph" w:styleId="List2">
    <w:name w:val="List 2"/>
    <w:basedOn w:val="BodyText"/>
    <w:rsid w:val="001D6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6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6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63C"/>
    <w:pPr>
      <w:numPr>
        <w:numId w:val="3"/>
      </w:numPr>
    </w:pPr>
  </w:style>
  <w:style w:type="paragraph" w:styleId="ListContinue2">
    <w:name w:val="List Continue 2"/>
    <w:basedOn w:val="List2"/>
    <w:rsid w:val="001D663C"/>
    <w:pPr>
      <w:ind w:firstLine="0"/>
    </w:pPr>
  </w:style>
  <w:style w:type="paragraph" w:styleId="ListContinue3">
    <w:name w:val="List Continue 3"/>
    <w:basedOn w:val="List3"/>
    <w:rsid w:val="001D663C"/>
    <w:pPr>
      <w:ind w:left="1021" w:firstLine="0"/>
    </w:pPr>
  </w:style>
  <w:style w:type="paragraph" w:styleId="ListContinue4">
    <w:name w:val="List Continue 4"/>
    <w:basedOn w:val="List4"/>
    <w:rsid w:val="001D663C"/>
    <w:pPr>
      <w:ind w:firstLine="0"/>
    </w:pPr>
  </w:style>
  <w:style w:type="paragraph" w:styleId="ListContinue5">
    <w:name w:val="List Continue 5"/>
    <w:basedOn w:val="List5"/>
    <w:rsid w:val="001D663C"/>
    <w:pPr>
      <w:ind w:firstLine="0"/>
    </w:pPr>
  </w:style>
  <w:style w:type="paragraph" w:styleId="ListNumber3">
    <w:name w:val="List Number 3"/>
    <w:basedOn w:val="List3"/>
    <w:rsid w:val="001D663C"/>
    <w:pPr>
      <w:numPr>
        <w:numId w:val="4"/>
      </w:numPr>
    </w:pPr>
  </w:style>
  <w:style w:type="paragraph" w:styleId="ListNumber4">
    <w:name w:val="List Number 4"/>
    <w:basedOn w:val="List4"/>
    <w:rsid w:val="001D663C"/>
    <w:pPr>
      <w:numPr>
        <w:numId w:val="5"/>
      </w:numPr>
    </w:pPr>
  </w:style>
  <w:style w:type="paragraph" w:styleId="ListNumber5">
    <w:name w:val="List Number 5"/>
    <w:basedOn w:val="List5"/>
    <w:rsid w:val="001D663C"/>
    <w:pPr>
      <w:numPr>
        <w:numId w:val="6"/>
      </w:numPr>
    </w:pPr>
  </w:style>
  <w:style w:type="paragraph" w:styleId="BlockText">
    <w:name w:val="Block Text"/>
    <w:basedOn w:val="Normal"/>
    <w:rsid w:val="001D6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63C"/>
    <w:rPr>
      <w:sz w:val="16"/>
      <w:vertAlign w:val="superscript"/>
    </w:rPr>
  </w:style>
  <w:style w:type="character" w:customStyle="1" w:styleId="Symbols">
    <w:name w:val="Symbols"/>
    <w:basedOn w:val="DefaultParagraphFont"/>
    <w:rsid w:val="001D663C"/>
    <w:rPr>
      <w:rFonts w:ascii="Symbol" w:hAnsi="Symbol"/>
    </w:rPr>
  </w:style>
  <w:style w:type="character" w:customStyle="1" w:styleId="MenuOptions">
    <w:name w:val="Menu Options"/>
    <w:basedOn w:val="DefaultParagraphFont"/>
    <w:rsid w:val="001D6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63C"/>
    <w:rPr>
      <w:b/>
    </w:rPr>
  </w:style>
  <w:style w:type="character" w:customStyle="1" w:styleId="Underlined">
    <w:name w:val="Underlined"/>
    <w:basedOn w:val="DefaultParagraphFont"/>
    <w:rsid w:val="001D663C"/>
    <w:rPr>
      <w:u w:val="single"/>
    </w:rPr>
  </w:style>
  <w:style w:type="paragraph" w:customStyle="1" w:styleId="TableBodyTextRight">
    <w:name w:val="Table Body Text Right"/>
    <w:basedOn w:val="TableBodyText"/>
    <w:rsid w:val="001D6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63C"/>
    <w:rPr>
      <w:sz w:val="18"/>
    </w:rPr>
  </w:style>
  <w:style w:type="paragraph" w:customStyle="1" w:styleId="BodySmallRight">
    <w:name w:val="Body Small Right"/>
    <w:basedOn w:val="BodyTextRight"/>
    <w:rsid w:val="001D663C"/>
    <w:rPr>
      <w:sz w:val="18"/>
      <w:szCs w:val="18"/>
    </w:rPr>
  </w:style>
  <w:style w:type="paragraph" w:customStyle="1" w:styleId="MarginEdition">
    <w:name w:val="Margin Edition"/>
    <w:basedOn w:val="MarginNote"/>
    <w:rsid w:val="001D6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63C"/>
    <w:rPr>
      <w:sz w:val="2"/>
      <w:szCs w:val="2"/>
    </w:rPr>
  </w:style>
  <w:style w:type="character" w:customStyle="1" w:styleId="Small">
    <w:name w:val="Small"/>
    <w:basedOn w:val="DefaultParagraphFont"/>
    <w:rsid w:val="001D663C"/>
    <w:rPr>
      <w:sz w:val="16"/>
    </w:rPr>
  </w:style>
  <w:style w:type="paragraph" w:customStyle="1" w:styleId="WideTable">
    <w:name w:val="Wide Table"/>
    <w:basedOn w:val="Normal"/>
    <w:rsid w:val="001D6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63C"/>
  </w:style>
  <w:style w:type="paragraph" w:styleId="Quote">
    <w:name w:val="Quote"/>
    <w:basedOn w:val="Heading1"/>
    <w:link w:val="QuoteChar"/>
    <w:qFormat/>
    <w:rsid w:val="001D6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63C"/>
    <w:pPr>
      <w:pageBreakBefore/>
    </w:pPr>
  </w:style>
  <w:style w:type="paragraph" w:customStyle="1" w:styleId="Border">
    <w:name w:val="Border"/>
    <w:basedOn w:val="Normal"/>
    <w:qFormat/>
    <w:rsid w:val="001D6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63C"/>
    <w:rPr>
      <w:u w:val="single"/>
    </w:rPr>
  </w:style>
  <w:style w:type="character" w:customStyle="1" w:styleId="BoldandItalics">
    <w:name w:val="Bold and Italics"/>
    <w:qFormat/>
    <w:rsid w:val="001D663C"/>
    <w:rPr>
      <w:b/>
      <w:i/>
      <w:u w:val="none"/>
    </w:rPr>
  </w:style>
  <w:style w:type="paragraph" w:styleId="BalloonText">
    <w:name w:val="Balloon Text"/>
    <w:basedOn w:val="Normal"/>
    <w:link w:val="BalloonTextChar"/>
    <w:rsid w:val="001D6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63C"/>
    <w:pPr>
      <w:spacing w:before="0" w:after="0"/>
    </w:pPr>
  </w:style>
  <w:style w:type="paragraph" w:customStyle="1" w:styleId="BodyTextBold">
    <w:name w:val="Body Text Bold"/>
    <w:basedOn w:val="BodyText"/>
    <w:qFormat/>
    <w:rsid w:val="001D663C"/>
    <w:rPr>
      <w:b/>
    </w:rPr>
  </w:style>
  <w:style w:type="character" w:styleId="Hyperlink">
    <w:name w:val="Hyperlink"/>
    <w:basedOn w:val="DefaultParagraphFont"/>
    <w:uiPriority w:val="99"/>
    <w:unhideWhenUsed/>
    <w:rsid w:val="006F5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5371</Characters>
  <Application>Microsoft Office Word</Application>
  <DocSecurity>0</DocSecurity>
  <Lines>198</Lines>
  <Paragraphs>131</Paragraphs>
  <ScaleCrop>false</ScaleCrop>
  <Company>Author-it Software Corporation Ltd.</Company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BSBCUE204 Collect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