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DE2" w:rsidP="00C77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BSBCNV612 Identify and apply legal requirements for a conveyancing transaction</w:t>
      </w:r>
      <w:r>
        <w:fldChar w:fldCharType="end"/>
      </w:r>
    </w:p>
    <w:p w:rsidR="00C77DE2" w:rsidP="00C77DE2">
      <w:pPr>
        <w:pStyle w:val="Version"/>
        <w:sectPr w:rsidSect="006A3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2FA" w:rsidP="006A32FA">
      <w:pPr>
        <w:pStyle w:val="SuperHeading"/>
      </w:pPr>
      <w:r w:rsidRPr="006A32FA">
        <w:t>Assessment Requirements for BSBCNV612 Identify and apply legal requirements for a conveyancing transaction</w:t>
      </w:r>
    </w:p>
    <w:p w:rsidR="00000000" w:rsidRPr="006A32FA" w:rsidP="006A32FA">
      <w:pPr>
        <w:pStyle w:val="Heading1"/>
      </w:pPr>
      <w:bookmarkStart w:id="1" w:name="O_1117883"/>
      <w:bookmarkEnd w:id="1"/>
      <w:r w:rsidRPr="006A32F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A32F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FA" w:rsidP="006A32FA">
            <w:pPr>
              <w:pStyle w:val="BodyText"/>
            </w:pPr>
            <w:r w:rsidRPr="006A32FA">
              <w:rPr>
                <w:rStyle w:val="SpecialBold"/>
              </w:rPr>
              <w:t>Release</w:t>
            </w:r>
            <w:r w:rsidRPr="006A32F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FA">
            <w:pPr>
              <w:pStyle w:val="BodyText"/>
              <w:rPr>
                <w:lang w:val="en-NZ"/>
              </w:rPr>
            </w:pPr>
            <w:r w:rsidRPr="006A32FA">
              <w:rPr>
                <w:rStyle w:val="SpecialBold"/>
              </w:rPr>
              <w:t>Comments</w:t>
            </w:r>
            <w:r w:rsidRPr="006A32FA">
              <w:t> </w:t>
            </w:r>
          </w:p>
        </w:tc>
      </w:tr>
      <w:tr w:rsidTr="006A32F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2FA">
            <w:pPr>
              <w:pStyle w:val="BodyText"/>
              <w:rPr>
                <w:lang w:val="en-NZ"/>
              </w:rPr>
            </w:pPr>
            <w:r w:rsidRPr="006A32F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2FA" w:rsidP="006A32FA">
            <w:pPr>
              <w:pStyle w:val="BodyText"/>
            </w:pPr>
            <w:r w:rsidRPr="006A32FA">
              <w:t>This version first released with BSB Business Services Training Package Version 7.0.</w:t>
            </w:r>
          </w:p>
        </w:tc>
      </w:tr>
    </w:tbl>
    <w:p w:rsidR="00000000" w:rsidRPr="006A32FA" w:rsidP="006A32FA">
      <w:pPr>
        <w:pStyle w:val="BodyText"/>
      </w:pPr>
    </w:p>
    <w:p w:rsidR="00000000" w:rsidRPr="006A32FA" w:rsidP="006A32FA">
      <w:pPr>
        <w:pStyle w:val="AllowPageBreak"/>
      </w:pPr>
    </w:p>
    <w:p w:rsidR="00000000" w:rsidRPr="006A32FA" w:rsidP="006A32FA">
      <w:pPr>
        <w:pStyle w:val="Heading1"/>
      </w:pPr>
      <w:bookmarkStart w:id="2" w:name="O_1117886"/>
      <w:bookmarkEnd w:id="2"/>
      <w:r w:rsidRPr="006A32FA">
        <w:t>Performance Evidence</w:t>
      </w:r>
    </w:p>
    <w:p w:rsidR="00000000" w:rsidRPr="006A32FA" w:rsidP="00C77DE2">
      <w:pPr>
        <w:pStyle w:val="BodyText"/>
      </w:pPr>
      <w:r w:rsidRPr="006A32FA">
        <w:t>The candidate must demonstrate the ability to complete the tasks outlined in the elements, performance criteria and foundation sk</w:t>
      </w:r>
      <w:r w:rsidRPr="006A32FA">
        <w:t>ills of this unit, including evidence of the ability to:</w:t>
      </w:r>
    </w:p>
    <w:p w:rsidR="00000000" w:rsidRPr="006A32FA" w:rsidP="006A32FA">
      <w:pPr>
        <w:pStyle w:val="ListBullet"/>
      </w:pPr>
      <w:r w:rsidRPr="006A32FA">
        <w:t>interpret and comply with legislation and industry codes of conduct relating to conveyancing transactions and agency operations.</w:t>
      </w:r>
    </w:p>
    <w:p w:rsidR="00000000" w:rsidRPr="006A32FA" w:rsidP="00C77DE2">
      <w:pPr>
        <w:pStyle w:val="BodyText"/>
      </w:pPr>
      <w:r w:rsidRPr="006A32FA">
        <w:t xml:space="preserve">In the course of the above, the candidate must: </w:t>
      </w:r>
    </w:p>
    <w:p w:rsidR="00000000" w:rsidRPr="006A32FA" w:rsidP="006A32FA">
      <w:pPr>
        <w:pStyle w:val="List"/>
      </w:pPr>
      <w:r w:rsidRPr="006A32FA">
        <w:t>conduct legal resear</w:t>
      </w:r>
      <w:r w:rsidRPr="006A32FA">
        <w:t xml:space="preserve">ch </w:t>
      </w:r>
    </w:p>
    <w:p w:rsidR="00000000" w:rsidRPr="006A32FA" w:rsidP="006A32FA">
      <w:pPr>
        <w:pStyle w:val="List"/>
      </w:pPr>
      <w:r w:rsidRPr="006A32FA">
        <w:t>communicate key information to clients and other relevant professionals</w:t>
      </w:r>
    </w:p>
    <w:p w:rsidR="00000000" w:rsidRPr="006A32FA" w:rsidP="006A32FA">
      <w:pPr>
        <w:pStyle w:val="List"/>
      </w:pPr>
      <w:r w:rsidRPr="006A32FA">
        <w:t>maintain file records.</w:t>
      </w:r>
    </w:p>
    <w:p w:rsidR="00000000" w:rsidRPr="006A32FA" w:rsidP="006A32FA">
      <w:pPr>
        <w:pStyle w:val="Heading1"/>
      </w:pPr>
      <w:bookmarkStart w:id="3" w:name="O_1117885"/>
      <w:bookmarkEnd w:id="3"/>
      <w:r w:rsidRPr="006A32FA">
        <w:t>Knowledge Evidence</w:t>
      </w:r>
    </w:p>
    <w:p w:rsidR="00000000" w:rsidRPr="006A32FA" w:rsidP="00C77DE2">
      <w:pPr>
        <w:pStyle w:val="BodyText"/>
      </w:pPr>
      <w:r w:rsidRPr="006A32FA">
        <w:t>The candidate must be a</w:t>
      </w:r>
      <w:r w:rsidRPr="006A32FA">
        <w:t xml:space="preserve">ble to demonstrate knowledge to complete the tasks outlined in the elements, performance criteria and foundation skills of this unit, including knowledge of: </w:t>
      </w:r>
    </w:p>
    <w:p w:rsidR="00000000" w:rsidRPr="006A32FA" w:rsidP="006A32FA">
      <w:pPr>
        <w:pStyle w:val="ListBullet"/>
      </w:pPr>
      <w:r w:rsidRPr="006A32FA">
        <w:t>legal principles, requirements and amendments affecting conveyancing transactions and agency ope</w:t>
      </w:r>
      <w:r w:rsidRPr="006A32FA">
        <w:t>rations</w:t>
      </w:r>
    </w:p>
    <w:p w:rsidR="00000000" w:rsidRPr="006A32FA" w:rsidP="006A32FA">
      <w:pPr>
        <w:pStyle w:val="ListBullet"/>
      </w:pPr>
      <w:r w:rsidRPr="006A32FA">
        <w:t>industry codes of conduct</w:t>
      </w:r>
    </w:p>
    <w:p w:rsidR="00000000" w:rsidRPr="006A32FA" w:rsidP="006A32FA">
      <w:pPr>
        <w:pStyle w:val="ListBullet"/>
      </w:pPr>
      <w:r w:rsidRPr="006A32FA">
        <w:t>common problems associated with interpreting legislation</w:t>
      </w:r>
    </w:p>
    <w:p w:rsidR="00000000" w:rsidRPr="006A32FA" w:rsidP="006A32FA">
      <w:pPr>
        <w:pStyle w:val="ListBullet"/>
      </w:pPr>
      <w:r w:rsidRPr="006A32FA">
        <w:t>relevant case law</w:t>
      </w:r>
    </w:p>
    <w:p w:rsidR="00000000" w:rsidRPr="006A32FA" w:rsidP="006A32FA">
      <w:pPr>
        <w:pStyle w:val="ListBullet"/>
      </w:pPr>
      <w:r w:rsidRPr="006A32FA">
        <w:t>features of Commonwealth, and State or Territory legislation and local government regulations relating to:</w:t>
      </w:r>
    </w:p>
    <w:p w:rsidR="00000000" w:rsidRPr="006A32FA" w:rsidP="006A32FA">
      <w:pPr>
        <w:pStyle w:val="ListBullet2"/>
      </w:pPr>
      <w:r w:rsidRPr="006A32FA">
        <w:t xml:space="preserve">contracts of sale of land </w:t>
      </w:r>
    </w:p>
    <w:p w:rsidR="00000000" w:rsidRPr="006A32FA" w:rsidP="006A32FA">
      <w:pPr>
        <w:pStyle w:val="ListBullet2"/>
      </w:pPr>
      <w:r w:rsidRPr="006A32FA">
        <w:t>leases, ease</w:t>
      </w:r>
      <w:r w:rsidRPr="006A32FA">
        <w:t>ments, encumbrances, caveats and planning laws</w:t>
      </w:r>
    </w:p>
    <w:p w:rsidR="00000000" w:rsidRPr="006A32FA" w:rsidP="006A32FA">
      <w:pPr>
        <w:pStyle w:val="ListBullet2"/>
      </w:pPr>
      <w:r w:rsidRPr="006A32FA">
        <w:t>disclosure requirements</w:t>
      </w:r>
    </w:p>
    <w:p w:rsidR="00000000" w:rsidRPr="006A32FA" w:rsidP="006A32FA">
      <w:pPr>
        <w:pStyle w:val="ListBullet2"/>
      </w:pPr>
      <w:r w:rsidRPr="006A32FA">
        <w:t>duties and taxes</w:t>
      </w:r>
    </w:p>
    <w:p w:rsidR="00000000" w:rsidRPr="006A32FA" w:rsidP="006A32FA">
      <w:pPr>
        <w:pStyle w:val="ListBullet2"/>
      </w:pPr>
      <w:r w:rsidRPr="006A32FA">
        <w:t>government fees and registration requirements</w:t>
      </w:r>
    </w:p>
    <w:p w:rsidR="00000000" w:rsidRPr="006A32FA" w:rsidP="006A32FA">
      <w:pPr>
        <w:pStyle w:val="ListBullet2"/>
      </w:pPr>
      <w:r w:rsidRPr="006A32FA">
        <w:t xml:space="preserve">government reporting requirements </w:t>
      </w:r>
    </w:p>
    <w:p w:rsidR="00000000" w:rsidRPr="006A32FA" w:rsidP="006A32FA">
      <w:pPr>
        <w:pStyle w:val="ListBullet2"/>
      </w:pPr>
      <w:r w:rsidRPr="006A32FA">
        <w:t xml:space="preserve">insurance </w:t>
      </w:r>
    </w:p>
    <w:p w:rsidR="00000000" w:rsidRPr="006A32FA" w:rsidP="006A32FA">
      <w:pPr>
        <w:pStyle w:val="ListBullet2"/>
      </w:pPr>
      <w:r w:rsidRPr="006A32FA">
        <w:t>relevant legislation regarding the payment of a deposit</w:t>
      </w:r>
    </w:p>
    <w:p w:rsidR="00000000" w:rsidRPr="006A32FA" w:rsidP="006A32FA">
      <w:pPr>
        <w:pStyle w:val="ListBullet2"/>
      </w:pPr>
      <w:r w:rsidRPr="006A32FA">
        <w:t>estate agents’</w:t>
      </w:r>
      <w:r w:rsidRPr="006A32FA">
        <w:t xml:space="preserve"> legislative requirements</w:t>
      </w:r>
    </w:p>
    <w:p w:rsidR="00000000" w:rsidRPr="006A32FA" w:rsidP="006A32FA">
      <w:pPr>
        <w:pStyle w:val="ListBullet2"/>
      </w:pPr>
      <w:r w:rsidRPr="006A32FA">
        <w:t xml:space="preserve">competition and consumer protection </w:t>
      </w:r>
    </w:p>
    <w:p w:rsidR="00000000" w:rsidRPr="006A32FA" w:rsidP="006A32FA">
      <w:pPr>
        <w:pStyle w:val="ListBullet2"/>
      </w:pPr>
      <w:r w:rsidRPr="006A32FA">
        <w:t xml:space="preserve">privacy </w:t>
      </w:r>
    </w:p>
    <w:p w:rsidR="00000000" w:rsidRPr="006A32FA" w:rsidP="006A32FA">
      <w:pPr>
        <w:pStyle w:val="ListBullet2"/>
      </w:pPr>
      <w:r w:rsidRPr="006A32FA">
        <w:t>corporations and other legal entities.</w:t>
      </w:r>
    </w:p>
    <w:p w:rsidR="00000000" w:rsidRPr="006A32FA" w:rsidP="006A32FA">
      <w:pPr>
        <w:pStyle w:val="AllowPageBreak"/>
      </w:pPr>
    </w:p>
    <w:p w:rsidR="00000000" w:rsidRPr="006A32FA" w:rsidP="006A32FA">
      <w:pPr>
        <w:pStyle w:val="Heading1"/>
      </w:pPr>
      <w:bookmarkStart w:id="4" w:name="O_1117884"/>
      <w:bookmarkEnd w:id="4"/>
      <w:r w:rsidRPr="006A32FA">
        <w:t>Assessment Conditions</w:t>
      </w:r>
    </w:p>
    <w:p w:rsidR="00000000" w:rsidRPr="006A32FA" w:rsidP="00C77DE2">
      <w:pPr>
        <w:pStyle w:val="BodyText"/>
      </w:pPr>
      <w:r w:rsidRPr="006A32FA">
        <w:t>Skills in this unit must be demonstrated in a workplace or simulated environment where the conditions ar</w:t>
      </w:r>
      <w:r w:rsidRPr="006A32FA">
        <w:t>e typical of those in a working environment in this industry.</w:t>
      </w:r>
    </w:p>
    <w:p w:rsidR="00000000" w:rsidRPr="006A32FA" w:rsidP="00C77DE2">
      <w:pPr>
        <w:pStyle w:val="BodyText"/>
      </w:pPr>
      <w:r w:rsidRPr="006A32FA">
        <w:t>This includes access to:</w:t>
      </w:r>
    </w:p>
    <w:p w:rsidR="00000000" w:rsidRPr="006A32FA" w:rsidP="006A32FA">
      <w:pPr>
        <w:pStyle w:val="ListBullet"/>
      </w:pPr>
      <w:r w:rsidRPr="006A32FA">
        <w:t>assessment records showing the preparation of a variety of legal documents to support a transaction.</w:t>
      </w:r>
    </w:p>
    <w:p w:rsidR="00000000" w:rsidRPr="006A32FA" w:rsidP="006A32FA">
      <w:pPr>
        <w:pStyle w:val="BodyText"/>
      </w:pPr>
      <w:r w:rsidRPr="006A32FA">
        <w:t xml:space="preserve"> </w:t>
      </w:r>
    </w:p>
    <w:p w:rsidR="00000000" w:rsidRPr="006A32FA" w:rsidP="00C77DE2">
      <w:pPr>
        <w:pStyle w:val="BodyText"/>
      </w:pPr>
      <w:r w:rsidRPr="006A32FA">
        <w:t>Assessors of this unit must satisfy the requirements for assessors in applicable vocational education and training legislation, frameworks and/or standards.</w:t>
      </w:r>
    </w:p>
    <w:p w:rsidR="00000000" w:rsidRPr="006A32FA" w:rsidP="006A32FA">
      <w:pPr>
        <w:pStyle w:val="Heading1"/>
      </w:pPr>
      <w:bookmarkStart w:id="5" w:name="O_1117882"/>
      <w:bookmarkEnd w:id="5"/>
      <w:r w:rsidRPr="006A32FA">
        <w:t>Links</w:t>
      </w:r>
    </w:p>
    <w:p w:rsidR="00000000" w:rsidRPr="006A32FA" w:rsidP="00C77DE2">
      <w:pPr>
        <w:pStyle w:val="BodyText"/>
      </w:pPr>
      <w:r w:rsidRPr="006A32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44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32FA" w:rsidP="006A32FA"/>
    <w:sectPr w:rsidSect="006A32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FA" w:rsidRPr="00C77DE2" w:rsidP="00C77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E2" w:rsidP="006A3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7DE2" w:rsidP="006A3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7DE2" w:rsidP="006A3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2FA" w:rsidRPr="00C77DE2" w:rsidP="00C77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E2" w:rsidRPr="002D2AF8" w:rsidP="006A3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BSBCNV612 Identify and apply legal requirements for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77DE2" w:rsidP="006A3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64E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B26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1C7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2FA"/>
  </w:style>
  <w:style w:type="character" w:customStyle="1" w:styleId="Heading1Char">
    <w:name w:val="Heading 1 Char"/>
    <w:basedOn w:val="DefaultParagraphFont"/>
    <w:link w:val="Heading1"/>
    <w:rsid w:val="006A3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2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32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32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2FA"/>
    <w:rPr>
      <w:b/>
      <w:spacing w:val="0"/>
    </w:rPr>
  </w:style>
  <w:style w:type="paragraph" w:styleId="ListBullet2">
    <w:name w:val="List Bullet 2"/>
    <w:basedOn w:val="List2"/>
    <w:rsid w:val="006A32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3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2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3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2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2FA"/>
    <w:rPr>
      <w:i/>
    </w:rPr>
  </w:style>
  <w:style w:type="paragraph" w:styleId="Caption">
    <w:name w:val="caption"/>
    <w:basedOn w:val="BodyText"/>
    <w:next w:val="Normal"/>
    <w:qFormat/>
    <w:rsid w:val="006A3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2FA"/>
  </w:style>
  <w:style w:type="paragraph" w:styleId="TableofFigures">
    <w:name w:val="table of figures"/>
    <w:basedOn w:val="Normal"/>
    <w:next w:val="Normal"/>
    <w:semiHidden/>
    <w:rsid w:val="006A3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2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2FA"/>
    <w:rPr>
      <w:rFonts w:ascii="Wingdings" w:hAnsi="Wingdings"/>
    </w:rPr>
  </w:style>
  <w:style w:type="paragraph" w:customStyle="1" w:styleId="TableHeading">
    <w:name w:val="Table Heading"/>
    <w:basedOn w:val="HeadingBase"/>
    <w:rsid w:val="006A3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2FA"/>
    <w:rPr>
      <w:color w:val="0033CC"/>
      <w:u w:val="none"/>
    </w:rPr>
  </w:style>
  <w:style w:type="paragraph" w:customStyle="1" w:styleId="BodyTextRight">
    <w:name w:val="Body Text Right"/>
    <w:basedOn w:val="BodyText"/>
    <w:rsid w:val="006A3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2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2FA"/>
    <w:rPr>
      <w:sz w:val="32"/>
    </w:rPr>
  </w:style>
  <w:style w:type="paragraph" w:customStyle="1" w:styleId="HeadingProcedure">
    <w:name w:val="Heading Procedure"/>
    <w:basedOn w:val="HeadingBase"/>
    <w:next w:val="Normal"/>
    <w:rsid w:val="006A3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2FA"/>
    <w:pPr>
      <w:spacing w:before="60" w:after="60"/>
    </w:pPr>
  </w:style>
  <w:style w:type="paragraph" w:styleId="ListContinue">
    <w:name w:val="List Continue"/>
    <w:basedOn w:val="List"/>
    <w:rsid w:val="006A32FA"/>
    <w:pPr>
      <w:ind w:firstLine="0"/>
    </w:pPr>
  </w:style>
  <w:style w:type="paragraph" w:customStyle="1" w:styleId="ListNote">
    <w:name w:val="List Note"/>
    <w:basedOn w:val="List"/>
    <w:rsid w:val="006A3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2FA"/>
    <w:rPr>
      <w:rFonts w:ascii="Courier New" w:hAnsi="Courier New"/>
    </w:rPr>
  </w:style>
  <w:style w:type="paragraph" w:customStyle="1" w:styleId="NoteBullet">
    <w:name w:val="Note Bullet"/>
    <w:basedOn w:val="Note"/>
    <w:rsid w:val="006A3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2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2FA"/>
    <w:rPr>
      <w:b/>
      <w:smallCaps/>
    </w:rPr>
  </w:style>
  <w:style w:type="paragraph" w:customStyle="1" w:styleId="TableListNumber">
    <w:name w:val="Table List Number"/>
    <w:basedOn w:val="ListNumber"/>
    <w:rsid w:val="006A3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2FA"/>
    <w:pPr>
      <w:numPr>
        <w:numId w:val="9"/>
      </w:numPr>
    </w:pPr>
  </w:style>
  <w:style w:type="paragraph" w:customStyle="1" w:styleId="ListAlpha2">
    <w:name w:val="List Alpha 2"/>
    <w:basedOn w:val="List2"/>
    <w:rsid w:val="006A32FA"/>
    <w:pPr>
      <w:numPr>
        <w:numId w:val="8"/>
      </w:numPr>
    </w:pPr>
  </w:style>
  <w:style w:type="paragraph" w:styleId="List2">
    <w:name w:val="List 2"/>
    <w:basedOn w:val="BodyText"/>
    <w:rsid w:val="006A3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2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2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2FA"/>
    <w:pPr>
      <w:numPr>
        <w:numId w:val="4"/>
      </w:numPr>
    </w:pPr>
  </w:style>
  <w:style w:type="paragraph" w:styleId="ListContinue2">
    <w:name w:val="List Continue 2"/>
    <w:basedOn w:val="List2"/>
    <w:rsid w:val="006A32FA"/>
    <w:pPr>
      <w:ind w:firstLine="0"/>
    </w:pPr>
  </w:style>
  <w:style w:type="paragraph" w:styleId="ListContinue3">
    <w:name w:val="List Continue 3"/>
    <w:basedOn w:val="List3"/>
    <w:rsid w:val="006A32FA"/>
    <w:pPr>
      <w:ind w:left="1021" w:firstLine="0"/>
    </w:pPr>
  </w:style>
  <w:style w:type="paragraph" w:styleId="ListContinue4">
    <w:name w:val="List Continue 4"/>
    <w:basedOn w:val="List4"/>
    <w:rsid w:val="006A32FA"/>
    <w:pPr>
      <w:ind w:firstLine="0"/>
    </w:pPr>
  </w:style>
  <w:style w:type="paragraph" w:styleId="ListContinue5">
    <w:name w:val="List Continue 5"/>
    <w:basedOn w:val="List5"/>
    <w:rsid w:val="006A32FA"/>
    <w:pPr>
      <w:ind w:firstLine="0"/>
    </w:pPr>
  </w:style>
  <w:style w:type="paragraph" w:styleId="ListNumber3">
    <w:name w:val="List Number 3"/>
    <w:basedOn w:val="List3"/>
    <w:rsid w:val="006A32FA"/>
    <w:pPr>
      <w:numPr>
        <w:numId w:val="5"/>
      </w:numPr>
    </w:pPr>
  </w:style>
  <w:style w:type="paragraph" w:styleId="ListNumber4">
    <w:name w:val="List Number 4"/>
    <w:basedOn w:val="List4"/>
    <w:rsid w:val="006A32FA"/>
    <w:pPr>
      <w:numPr>
        <w:numId w:val="6"/>
      </w:numPr>
    </w:pPr>
  </w:style>
  <w:style w:type="paragraph" w:styleId="ListNumber5">
    <w:name w:val="List Number 5"/>
    <w:basedOn w:val="List5"/>
    <w:rsid w:val="006A32FA"/>
    <w:pPr>
      <w:numPr>
        <w:numId w:val="7"/>
      </w:numPr>
    </w:pPr>
  </w:style>
  <w:style w:type="paragraph" w:styleId="BlockText">
    <w:name w:val="Block Text"/>
    <w:basedOn w:val="Normal"/>
    <w:rsid w:val="006A3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2FA"/>
    <w:rPr>
      <w:sz w:val="16"/>
      <w:vertAlign w:val="superscript"/>
    </w:rPr>
  </w:style>
  <w:style w:type="character" w:customStyle="1" w:styleId="Symbols">
    <w:name w:val="Symbols"/>
    <w:basedOn w:val="DefaultParagraphFont"/>
    <w:rsid w:val="006A32FA"/>
    <w:rPr>
      <w:rFonts w:ascii="Symbol" w:hAnsi="Symbol"/>
    </w:rPr>
  </w:style>
  <w:style w:type="character" w:customStyle="1" w:styleId="MenuOptions">
    <w:name w:val="Menu Options"/>
    <w:basedOn w:val="DefaultParagraphFont"/>
    <w:rsid w:val="006A3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2FA"/>
    <w:rPr>
      <w:b/>
    </w:rPr>
  </w:style>
  <w:style w:type="character" w:customStyle="1" w:styleId="Underlined">
    <w:name w:val="Underlined"/>
    <w:basedOn w:val="DefaultParagraphFont"/>
    <w:rsid w:val="006A32FA"/>
    <w:rPr>
      <w:u w:val="single"/>
    </w:rPr>
  </w:style>
  <w:style w:type="paragraph" w:customStyle="1" w:styleId="TableBodyTextRight">
    <w:name w:val="Table Body Text Right"/>
    <w:basedOn w:val="TableBodyText"/>
    <w:rsid w:val="006A3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2FA"/>
    <w:rPr>
      <w:sz w:val="18"/>
    </w:rPr>
  </w:style>
  <w:style w:type="paragraph" w:customStyle="1" w:styleId="BodySmallRight">
    <w:name w:val="Body Small Right"/>
    <w:basedOn w:val="BodyTextRight"/>
    <w:rsid w:val="006A32FA"/>
    <w:rPr>
      <w:sz w:val="18"/>
      <w:szCs w:val="18"/>
    </w:rPr>
  </w:style>
  <w:style w:type="paragraph" w:customStyle="1" w:styleId="MarginEdition">
    <w:name w:val="Margin Edition"/>
    <w:basedOn w:val="MarginNote"/>
    <w:rsid w:val="006A3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2FA"/>
    <w:rPr>
      <w:sz w:val="2"/>
      <w:szCs w:val="2"/>
    </w:rPr>
  </w:style>
  <w:style w:type="character" w:customStyle="1" w:styleId="Small">
    <w:name w:val="Small"/>
    <w:basedOn w:val="DefaultParagraphFont"/>
    <w:rsid w:val="006A32FA"/>
    <w:rPr>
      <w:sz w:val="16"/>
    </w:rPr>
  </w:style>
  <w:style w:type="paragraph" w:customStyle="1" w:styleId="WideTable">
    <w:name w:val="Wide Table"/>
    <w:basedOn w:val="Normal"/>
    <w:rsid w:val="006A3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2FA"/>
  </w:style>
  <w:style w:type="paragraph" w:styleId="Quote">
    <w:name w:val="Quote"/>
    <w:basedOn w:val="Heading1"/>
    <w:link w:val="QuoteChar"/>
    <w:qFormat/>
    <w:rsid w:val="006A3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2FA"/>
    <w:pPr>
      <w:pageBreakBefore/>
    </w:pPr>
  </w:style>
  <w:style w:type="paragraph" w:customStyle="1" w:styleId="Border">
    <w:name w:val="Border"/>
    <w:basedOn w:val="Normal"/>
    <w:qFormat/>
    <w:rsid w:val="006A3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2FA"/>
    <w:rPr>
      <w:u w:val="single"/>
    </w:rPr>
  </w:style>
  <w:style w:type="character" w:customStyle="1" w:styleId="BoldandItalics">
    <w:name w:val="Bold and Italics"/>
    <w:qFormat/>
    <w:rsid w:val="006A32FA"/>
    <w:rPr>
      <w:b/>
      <w:i/>
      <w:u w:val="none"/>
    </w:rPr>
  </w:style>
  <w:style w:type="paragraph" w:styleId="BalloonText">
    <w:name w:val="Balloon Text"/>
    <w:basedOn w:val="Normal"/>
    <w:link w:val="BalloonTextChar"/>
    <w:rsid w:val="006A3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2FA"/>
    <w:pPr>
      <w:spacing w:before="0" w:after="0"/>
    </w:pPr>
  </w:style>
  <w:style w:type="paragraph" w:customStyle="1" w:styleId="BodyTextBold">
    <w:name w:val="Body Text Bold"/>
    <w:basedOn w:val="BodyText"/>
    <w:qFormat/>
    <w:rsid w:val="006A32FA"/>
    <w:rPr>
      <w:b/>
    </w:rPr>
  </w:style>
  <w:style w:type="character" w:styleId="Hyperlink">
    <w:name w:val="Hyperlink"/>
    <w:basedOn w:val="DefaultParagraphFont"/>
    <w:uiPriority w:val="99"/>
    <w:unhideWhenUsed/>
    <w:rsid w:val="00C77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2243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BSBCNV612 Identify and apply legal requirements for a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