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377" w:rsidP="00057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BSBATSIM412 Implement a businesslike approach</w:t>
      </w:r>
      <w:r>
        <w:fldChar w:fldCharType="end"/>
      </w:r>
    </w:p>
    <w:p w:rsidR="00057377" w:rsidP="00057377">
      <w:pPr>
        <w:pStyle w:val="Version"/>
        <w:sectPr w:rsidSect="006F4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B32" w:rsidP="006F4B32">
      <w:pPr>
        <w:pStyle w:val="SuperHeading"/>
      </w:pPr>
      <w:r w:rsidRPr="006F4B32">
        <w:t>BSBATSIM412 Implement a businesslike approach</w:t>
      </w:r>
    </w:p>
    <w:p w:rsidR="00000000" w:rsidRPr="006F4B32" w:rsidP="006F4B32">
      <w:pPr>
        <w:pStyle w:val="Heading1"/>
      </w:pPr>
      <w:bookmarkStart w:id="1" w:name="O_703061"/>
      <w:bookmarkEnd w:id="1"/>
      <w:r w:rsidRPr="006F4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SpecialBold"/>
              </w:rPr>
              <w:t>Comments</w:t>
            </w:r>
          </w:p>
        </w:tc>
      </w:tr>
      <w:tr w:rsidTr="006F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This version first released with BSB Business Services Training Package Version 1.0.</w:t>
            </w:r>
          </w:p>
        </w:tc>
      </w:tr>
    </w:tbl>
    <w:p w:rsidR="00000000" w:rsidRPr="006F4B32" w:rsidP="006F4B32">
      <w:pPr>
        <w:pStyle w:val="BodyText"/>
      </w:pP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2" w:name="O_703062"/>
      <w:bookmarkEnd w:id="2"/>
      <w:r w:rsidRPr="006F4B32">
        <w:t>Application</w:t>
      </w:r>
    </w:p>
    <w:p w:rsidR="00000000" w:rsidRPr="006F4B32" w:rsidP="00057377">
      <w:pPr>
        <w:pStyle w:val="BodyText"/>
      </w:pPr>
      <w:r w:rsidRPr="006F4B32">
        <w:t>This unit describes the skills and knowledge required to adopt a businesslike manne</w:t>
      </w:r>
      <w:r w:rsidRPr="006F4B32">
        <w:t>r in all aspects of operations.</w:t>
      </w:r>
    </w:p>
    <w:p w:rsidR="00000000" w:rsidRPr="006F4B32" w:rsidP="00057377">
      <w:pPr>
        <w:pStyle w:val="BodyText"/>
      </w:pPr>
      <w:r w:rsidRPr="006F4B32">
        <w:t>It applies to individuals with a broad knowledge of the business or core functions of organisations who contribute their skills and knowledge to monitoring and guiding activities of organisations in the Aboriginal and Torre</w:t>
      </w:r>
      <w:r w:rsidRPr="006F4B32">
        <w:t>s Strait Islander community.</w:t>
      </w:r>
    </w:p>
    <w:p w:rsidR="00000000" w:rsidRPr="006F4B32" w:rsidP="00057377">
      <w:pPr>
        <w:pStyle w:val="BodyText"/>
      </w:pPr>
      <w:r w:rsidRPr="006F4B32">
        <w:t>No licensing, legislative or certification requirements apply to this unit at the time of publication.</w:t>
      </w:r>
    </w:p>
    <w:p w:rsidR="00000000" w:rsidRPr="006F4B32" w:rsidP="006F4B32">
      <w:pPr>
        <w:pStyle w:val="Heading1"/>
      </w:pPr>
      <w:bookmarkStart w:id="3" w:name="O_703065"/>
      <w:bookmarkEnd w:id="3"/>
      <w:r w:rsidRPr="006F4B32">
        <w:t>Unit Sector</w:t>
      </w:r>
    </w:p>
    <w:p w:rsidR="00000000" w:rsidRPr="006F4B32" w:rsidP="00057377">
      <w:pPr>
        <w:pStyle w:val="BodyText"/>
      </w:pPr>
      <w:r w:rsidRPr="006F4B32">
        <w:t>Regulation, Licensing and Risk – ATSI Governance</w:t>
      </w:r>
    </w:p>
    <w:p w:rsidR="00000000" w:rsidRPr="006F4B32" w:rsidP="006F4B32">
      <w:pPr>
        <w:pStyle w:val="Heading1"/>
      </w:pPr>
      <w:bookmarkStart w:id="4" w:name="O_703066"/>
      <w:bookmarkEnd w:id="4"/>
      <w:r w:rsidRPr="006F4B32">
        <w:t>Elements and Performance Cri</w:t>
      </w:r>
      <w:r w:rsidRPr="006F4B32">
        <w:t>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4B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SpecialBold"/>
              </w:rPr>
              <w:t>PERFORMANCE CRITERIA</w:t>
            </w:r>
          </w:p>
        </w:tc>
      </w:tr>
      <w:tr w:rsidTr="006F4B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4B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 Identify businesslike attitudes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1.1 Discuss and describe differences between businesslike and non-businesslike attitudes</w:t>
            </w:r>
          </w:p>
          <w:p w:rsidR="00000000" w:rsidRPr="006F4B32" w:rsidP="006F4B32">
            <w:pPr>
              <w:pStyle w:val="BodyText"/>
            </w:pPr>
            <w:r w:rsidRPr="006F4B32">
              <w:t>1.2 Identify and document key differences</w:t>
            </w:r>
          </w:p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1.3 Identify and document differences within existing policies and programs</w:t>
            </w:r>
          </w:p>
        </w:tc>
      </w:tr>
      <w:tr w:rsidTr="006F4B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2 Implement businesslike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2.1 Modify and document present policies and programs appropriately to reflect a businesslike approach</w:t>
            </w:r>
          </w:p>
          <w:p w:rsidR="00000000" w:rsidRPr="006F4B32" w:rsidP="006F4B32">
            <w:pPr>
              <w:pStyle w:val="BodyText"/>
            </w:pPr>
            <w:r w:rsidRPr="006F4B32">
              <w:t>2.2 Advise relevant stakeholders accordingly</w:t>
            </w:r>
          </w:p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2.3 Review, modify and document strategic and business plans</w:t>
            </w:r>
          </w:p>
        </w:tc>
      </w:tr>
      <w:tr w:rsidTr="006F4B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3 Review operations regularly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3.1 Review all o</w:t>
            </w:r>
            <w:r w:rsidRPr="006F4B32">
              <w:t>perations from a businesslike perspective</w:t>
            </w:r>
          </w:p>
          <w:p w:rsidR="00000000" w:rsidRPr="006F4B32" w:rsidP="006F4B32">
            <w:pPr>
              <w:pStyle w:val="BodyText"/>
            </w:pPr>
            <w:r w:rsidRPr="006F4B32">
              <w:t>3.2 Identify areas of concern and implement actions as appropriate</w:t>
            </w:r>
          </w:p>
        </w:tc>
      </w:tr>
    </w:tbl>
    <w:p w:rsidR="00000000" w:rsidRPr="006F4B32" w:rsidP="006F4B32">
      <w:pPr>
        <w:pStyle w:val="BodyText"/>
      </w:pP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5" w:name="O_703067"/>
      <w:bookmarkEnd w:id="5"/>
      <w:r w:rsidRPr="006F4B32">
        <w:t>Foundation Skills</w:t>
      </w:r>
    </w:p>
    <w:p w:rsidR="00000000" w:rsidRPr="00057377" w:rsidP="00057377">
      <w:pPr>
        <w:pStyle w:val="BodyText"/>
        <w:rPr>
          <w:i/>
        </w:rPr>
      </w:pPr>
      <w:r w:rsidRPr="00057377">
        <w:rPr>
          <w:rStyle w:val="Emphasis"/>
        </w:rPr>
        <w:t>This section describes language, literacy, numeracy and employment skills incorporated in the performance crit</w:t>
      </w:r>
      <w:r w:rsidRPr="00057377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Performance</w:t>
            </w:r>
          </w:p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SpecialBold"/>
              </w:rPr>
              <w:t>Description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1.2, 1.3, 2.1, 2.3, 3.1, 3.2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ListBullet"/>
              <w:rPr>
                <w:lang w:val="en-NZ"/>
              </w:rPr>
            </w:pPr>
            <w:r w:rsidRPr="006F4B32">
              <w:t>Interprets information from a variety of sources to identify relevant and key information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1.2, 1.3,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ListBullet"/>
              <w:rPr>
                <w:lang w:val="en-NZ"/>
              </w:rPr>
            </w:pPr>
            <w:r w:rsidRPr="006F4B32">
              <w:t>Prepares strategic and business documentation for relevant stakeholders incorporating appropriate vocabulary, grammatical structure and conventions appropriate to text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ListBullet"/>
              <w:rPr>
                <w:lang w:val="en-NZ"/>
              </w:rPr>
            </w:pPr>
            <w:r w:rsidRPr="006F4B32">
              <w:t>Interacts effectively in verbal exchanges, using acti</w:t>
            </w:r>
            <w:r w:rsidRPr="006F4B32">
              <w:t>ve listening and questioning, to convey and clarify information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ListBullet"/>
              <w:rPr>
                <w:lang w:val="en-NZ"/>
              </w:rPr>
            </w:pPr>
            <w:r w:rsidRPr="006F4B32">
              <w:t>Selects and interprets familiar mathematical information to consider statistical data, trends and resource implications of proposed strategies and operations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ListBullet"/>
              <w:rPr>
                <w:lang w:val="en-NZ"/>
              </w:rPr>
            </w:pPr>
            <w:r w:rsidRPr="006F4B32">
              <w:t>Monitors adherence to organisational policies and programs and considers own role in terms of its contribution to broader goals of work environment</w:t>
            </w:r>
          </w:p>
        </w:tc>
      </w:tr>
      <w:tr w:rsidTr="006F4B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1.2, 1.3, 2.3, 3.1, 3.2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ListBullet"/>
            </w:pPr>
            <w:r w:rsidRPr="006F4B32">
              <w:t xml:space="preserve">Plans a range of routine tasks, </w:t>
            </w:r>
            <w:r w:rsidRPr="006F4B32">
              <w:t>accepting stated goals and aiming to achieve them efficiently</w:t>
            </w:r>
          </w:p>
          <w:p w:rsidR="00000000" w:rsidRPr="006F4B32" w:rsidP="006F4B32">
            <w:pPr>
              <w:pStyle w:val="ListBullet"/>
            </w:pPr>
            <w:r w:rsidRPr="006F4B32">
              <w:t>Takes responsibility for the outcomes of routine decisions related directly to own role</w:t>
            </w:r>
          </w:p>
        </w:tc>
      </w:tr>
    </w:tbl>
    <w:p w:rsidR="00000000" w:rsidRPr="006F4B32" w:rsidP="006F4B32">
      <w:pPr>
        <w:pStyle w:val="BodyText"/>
      </w:pP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6" w:name="O_703069"/>
      <w:bookmarkEnd w:id="6"/>
      <w:r w:rsidRPr="006F4B3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6F4B3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 xml:space="preserve">Code and title </w:t>
            </w:r>
          </w:p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Code and title</w:t>
            </w:r>
          </w:p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SpecialBold"/>
              </w:rPr>
              <w:t>Equivalence status</w:t>
            </w:r>
          </w:p>
        </w:tc>
      </w:tr>
      <w:tr w:rsidTr="006F4B3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 xml:space="preserve">BSBATSIM412 Implement a businesslike approach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BSBATSIM412B Implement a businesslike approach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Equivalent unit</w:t>
            </w:r>
          </w:p>
        </w:tc>
      </w:tr>
    </w:tbl>
    <w:p w:rsidR="00000000" w:rsidRPr="006F4B32" w:rsidP="006F4B32">
      <w:pPr>
        <w:pStyle w:val="BodyText"/>
      </w:pP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7" w:name="O_703076"/>
      <w:bookmarkEnd w:id="7"/>
      <w:r w:rsidRPr="006F4B32">
        <w:t>Links</w:t>
      </w:r>
    </w:p>
    <w:p w:rsidR="00000000" w:rsidRPr="006F4B32" w:rsidP="00057377">
      <w:pPr>
        <w:pStyle w:val="BodyText"/>
      </w:pPr>
      <w:r w:rsidRPr="006F4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61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4B32" w:rsidP="00057377">
      <w:pPr>
        <w:pStyle w:val="BodyText"/>
        <w:sectPr w:rsidSect="006F4B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4B32" w:rsidP="006F4B32">
      <w:pPr>
        <w:pStyle w:val="SuperHeading"/>
      </w:pPr>
      <w:r w:rsidRPr="006F4B32">
        <w:t xml:space="preserve">Assessment </w:t>
      </w:r>
      <w:r w:rsidRPr="006F4B32">
        <w:t>Requirements for BSBATSIM412 Implement a businesslike approach</w:t>
      </w:r>
    </w:p>
    <w:p w:rsidR="00000000" w:rsidRPr="006F4B32" w:rsidP="006F4B32">
      <w:pPr>
        <w:pStyle w:val="Heading1"/>
      </w:pPr>
      <w:bookmarkStart w:id="8" w:name="O_703071"/>
      <w:bookmarkEnd w:id="8"/>
      <w:r w:rsidRPr="006F4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rPr>
                <w:rStyle w:val="SpecialBold"/>
              </w:rPr>
              <w:t>Comments</w:t>
            </w:r>
          </w:p>
        </w:tc>
      </w:tr>
      <w:tr w:rsidTr="006F4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32">
            <w:pPr>
              <w:pStyle w:val="BodyText"/>
              <w:rPr>
                <w:lang w:val="en-NZ"/>
              </w:rPr>
            </w:pPr>
            <w:r w:rsidRPr="006F4B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32" w:rsidP="006F4B32">
            <w:pPr>
              <w:pStyle w:val="BodyText"/>
            </w:pPr>
            <w:r w:rsidRPr="006F4B32">
              <w:t>This version first released with BSB Business Services Training Package Version 1.0.</w:t>
            </w:r>
          </w:p>
        </w:tc>
      </w:tr>
    </w:tbl>
    <w:p w:rsidR="00000000" w:rsidRPr="006F4B32" w:rsidP="006F4B32">
      <w:pPr>
        <w:pStyle w:val="BodyText"/>
      </w:pP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9" w:name="O_703072"/>
      <w:bookmarkEnd w:id="9"/>
      <w:r w:rsidRPr="006F4B32">
        <w:t>Performance Evidence</w:t>
      </w:r>
    </w:p>
    <w:p w:rsidR="00000000" w:rsidRPr="006F4B32" w:rsidP="00057377">
      <w:pPr>
        <w:pStyle w:val="BodyText"/>
      </w:pPr>
      <w:r w:rsidRPr="006F4B32">
        <w:t>Evi</w:t>
      </w:r>
      <w:r w:rsidRPr="006F4B32">
        <w:t>dence of the ability to:</w:t>
      </w:r>
    </w:p>
    <w:p w:rsidR="00000000" w:rsidRPr="006F4B32" w:rsidP="006F4B32">
      <w:pPr>
        <w:pStyle w:val="ListBullet"/>
      </w:pPr>
      <w:r w:rsidRPr="006F4B32">
        <w:t>apply an integrated demonstration of all elements of competency and their performance criteria</w:t>
      </w:r>
    </w:p>
    <w:p w:rsidR="00000000" w:rsidRPr="006F4B32" w:rsidP="006F4B32">
      <w:pPr>
        <w:pStyle w:val="ListBullet"/>
      </w:pPr>
      <w:r w:rsidRPr="006F4B32">
        <w:t>assist the organisation to become more businesslike and self-sufficient.</w:t>
      </w:r>
    </w:p>
    <w:p w:rsidR="00000000" w:rsidRPr="006F4B32" w:rsidP="006F4B32">
      <w:pPr>
        <w:pStyle w:val="BodyText"/>
      </w:pPr>
    </w:p>
    <w:p w:rsidR="00000000" w:rsidRPr="006F4B32" w:rsidP="00057377">
      <w:pPr>
        <w:pStyle w:val="BodyText"/>
      </w:pPr>
      <w:r w:rsidRPr="006F4B32">
        <w:t>Note: If a specific volume or frequency is not stated, then evidence must be provided at least once.</w:t>
      </w:r>
    </w:p>
    <w:p w:rsidR="00000000" w:rsidRPr="006F4B32" w:rsidP="006F4B32">
      <w:pPr>
        <w:pStyle w:val="Heading1"/>
      </w:pPr>
      <w:bookmarkStart w:id="10" w:name="O_703073"/>
      <w:bookmarkEnd w:id="10"/>
      <w:r w:rsidRPr="006F4B32">
        <w:t>Knowledge Evidence</w:t>
      </w:r>
    </w:p>
    <w:p w:rsidR="00000000" w:rsidRPr="006F4B32" w:rsidP="00057377">
      <w:pPr>
        <w:pStyle w:val="BodyText"/>
      </w:pPr>
      <w:r w:rsidRPr="006F4B32">
        <w:t xml:space="preserve">To complete the unit requirements safely and effectively, the individual must: </w:t>
      </w:r>
    </w:p>
    <w:p w:rsidR="00000000" w:rsidRPr="006F4B32" w:rsidP="006F4B32">
      <w:pPr>
        <w:pStyle w:val="ListBullet"/>
      </w:pPr>
      <w:r w:rsidRPr="006F4B32">
        <w:t>describe cultural context in which Abo</w:t>
      </w:r>
      <w:r w:rsidRPr="006F4B32">
        <w:t>riginal and Torres Strait Islander boards operate, including their role in upholding traditional and cultural values, and how that might impact the conduct of community meetings</w:t>
      </w:r>
    </w:p>
    <w:p w:rsidR="00000000" w:rsidRPr="006F4B32" w:rsidP="006F4B32">
      <w:pPr>
        <w:pStyle w:val="ListBullet"/>
      </w:pPr>
      <w:r w:rsidRPr="006F4B32">
        <w:t>describe consensus decision-making principles</w:t>
      </w:r>
    </w:p>
    <w:p w:rsidR="00000000" w:rsidRPr="006F4B32" w:rsidP="006F4B32">
      <w:pPr>
        <w:pStyle w:val="ListBullet"/>
      </w:pPr>
      <w:r w:rsidRPr="006F4B32">
        <w:t>explain geographic, social, econ</w:t>
      </w:r>
      <w:r w:rsidRPr="006F4B32">
        <w:t>omic and political contexts in which particular organisations operate and how these may impact the conduct of community meetings</w:t>
      </w:r>
    </w:p>
    <w:p w:rsidR="00000000" w:rsidRPr="006F4B32" w:rsidP="006F4B32">
      <w:pPr>
        <w:pStyle w:val="ListBullet"/>
      </w:pPr>
      <w:r w:rsidRPr="006F4B32">
        <w:t>list provisions of federal, state or territory legislation as legal entities and funding recipients which influence decision-ma</w:t>
      </w:r>
      <w:r w:rsidRPr="006F4B32">
        <w:t>king</w:t>
      </w:r>
    </w:p>
    <w:p w:rsidR="00000000" w:rsidRPr="006F4B32" w:rsidP="006F4B32">
      <w:pPr>
        <w:pStyle w:val="ListBullet"/>
      </w:pPr>
      <w:r w:rsidRPr="006F4B32">
        <w:t>outline relevant business processes</w:t>
      </w:r>
    </w:p>
    <w:p w:rsidR="00000000" w:rsidRPr="006F4B32" w:rsidP="006F4B32">
      <w:pPr>
        <w:pStyle w:val="ListBullet"/>
      </w:pPr>
      <w:r w:rsidRPr="006F4B32">
        <w:t>outline relevant organisational processes</w:t>
      </w:r>
    </w:p>
    <w:p w:rsidR="00000000" w:rsidRPr="006F4B32" w:rsidP="006F4B32">
      <w:pPr>
        <w:pStyle w:val="ListBullet"/>
      </w:pPr>
      <w:r w:rsidRPr="006F4B32">
        <w:t>identify sources of business support services.</w:t>
      </w:r>
    </w:p>
    <w:p w:rsidR="00000000" w:rsidRPr="006F4B32" w:rsidP="006F4B32">
      <w:pPr>
        <w:pStyle w:val="AllowPageBreak"/>
      </w:pPr>
    </w:p>
    <w:p w:rsidR="00000000" w:rsidRPr="006F4B32" w:rsidP="006F4B32">
      <w:pPr>
        <w:pStyle w:val="Heading1"/>
      </w:pPr>
      <w:bookmarkStart w:id="11" w:name="O_703074"/>
      <w:bookmarkEnd w:id="11"/>
      <w:r w:rsidRPr="006F4B32">
        <w:t>Assessment Conditions</w:t>
      </w:r>
    </w:p>
    <w:p w:rsidR="00000000" w:rsidRPr="006F4B32" w:rsidP="00057377">
      <w:pPr>
        <w:pStyle w:val="BodyText"/>
      </w:pPr>
      <w:r w:rsidRPr="006F4B32">
        <w:t>Assessment must be conducted in a safe environment where evidence gathered demonstrates</w:t>
      </w:r>
      <w:r w:rsidRPr="006F4B32">
        <w:t xml:space="preserve"> consistent performance of typical activities experienced in the regulation, licensing and risk – ATSI governance field of work and include access to:</w:t>
      </w:r>
    </w:p>
    <w:p w:rsidR="00000000" w:rsidRPr="006F4B32" w:rsidP="006F4B32">
      <w:pPr>
        <w:pStyle w:val="ListBullet"/>
      </w:pPr>
      <w:r w:rsidRPr="006F4B32">
        <w:t>an actual or simulated board</w:t>
      </w:r>
    </w:p>
    <w:p w:rsidR="00000000" w:rsidRPr="006F4B32" w:rsidP="006F4B32">
      <w:pPr>
        <w:pStyle w:val="ListBullet"/>
      </w:pPr>
      <w:r w:rsidRPr="006F4B32">
        <w:t>community issues relevant to boards of governance.</w:t>
      </w:r>
    </w:p>
    <w:p w:rsidR="00000000" w:rsidRPr="006F4B32" w:rsidP="006F4B32">
      <w:pPr>
        <w:pStyle w:val="BodyText"/>
      </w:pPr>
    </w:p>
    <w:p w:rsidR="00000000" w:rsidRPr="006F4B32" w:rsidP="00057377">
      <w:pPr>
        <w:pStyle w:val="BodyText"/>
      </w:pPr>
      <w:r w:rsidRPr="006F4B32">
        <w:t xml:space="preserve">Assessors must satisfy </w:t>
      </w:r>
      <w:r w:rsidRPr="006F4B32">
        <w:t>NVR/AQTF assessor requirements.</w:t>
      </w:r>
    </w:p>
    <w:p w:rsidR="00000000" w:rsidRPr="006F4B32" w:rsidP="006F4B32">
      <w:pPr>
        <w:pStyle w:val="Heading1"/>
      </w:pPr>
      <w:bookmarkStart w:id="12" w:name="O_703077"/>
      <w:bookmarkEnd w:id="12"/>
      <w:r w:rsidRPr="006F4B32">
        <w:t>Links</w:t>
      </w:r>
    </w:p>
    <w:p w:rsidR="00000000" w:rsidRPr="006F4B32" w:rsidP="00057377">
      <w:pPr>
        <w:pStyle w:val="BodyText"/>
      </w:pPr>
      <w:r w:rsidRPr="006F4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61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F4B32" w:rsidP="006F4B32"/>
    <w:sectPr w:rsidSect="006F4B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 w:rsidRPr="00057377" w:rsidP="00057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7" w:rsidP="006F4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377" w:rsidP="006F4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7377" w:rsidP="006F4B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 w:rsidP="006F4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377">
      <w:t>Approved</w:t>
    </w:r>
    <w:r w:rsidR="000573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3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377">
      <w:rPr>
        <w:noProof/>
      </w:rPr>
      <w:t>4</w:t>
    </w:r>
    <w:r>
      <w:rPr>
        <w:noProof/>
      </w:rPr>
      <w:fldChar w:fldCharType="end"/>
    </w:r>
  </w:p>
  <w:p w:rsidR="006F4B32" w:rsidP="006F4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3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377">
      <w:t>Future Skills Organisation</w:t>
    </w:r>
    <w:r w:rsidR="00057377">
      <w:fldChar w:fldCharType="end"/>
    </w:r>
  </w:p>
  <w:p w:rsidR="006F4B32" w:rsidP="006F4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B32" w:rsidRPr="00057377" w:rsidP="00057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377" w:rsidRPr="002D2AF8" w:rsidP="006F4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BSBATSIM412 Implement a businesslike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7377" w:rsidP="006F4B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32" w:rsidRPr="002D2AF8" w:rsidP="006F4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377">
      <w:t>BSBATSIM412 Implement a businesslike approach</w:t>
    </w:r>
    <w:r w:rsidR="000573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377">
      <w:rPr>
        <w:noProof/>
      </w:rPr>
      <w:t>1 March 2025</w:t>
    </w:r>
    <w:r>
      <w:fldChar w:fldCharType="end"/>
    </w:r>
  </w:p>
  <w:p w:rsidR="006F4B32" w:rsidP="006F4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5AD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AA1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B32"/>
  </w:style>
  <w:style w:type="character" w:customStyle="1" w:styleId="Heading1Char">
    <w:name w:val="Heading 1 Char"/>
    <w:basedOn w:val="DefaultParagraphFont"/>
    <w:link w:val="Heading1"/>
    <w:rsid w:val="006F4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B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B32"/>
    <w:rPr>
      <w:b/>
      <w:spacing w:val="0"/>
    </w:rPr>
  </w:style>
  <w:style w:type="character" w:styleId="Emphasis">
    <w:name w:val="Emphasis"/>
    <w:basedOn w:val="DefaultParagraphFont"/>
    <w:qFormat/>
    <w:rsid w:val="006F4B32"/>
    <w:rPr>
      <w:i/>
    </w:rPr>
  </w:style>
  <w:style w:type="paragraph" w:customStyle="1" w:styleId="SuperHeading">
    <w:name w:val="SuperHeading"/>
    <w:basedOn w:val="Normal"/>
    <w:rsid w:val="006F4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B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B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4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B32"/>
  </w:style>
  <w:style w:type="paragraph" w:styleId="TableofFigures">
    <w:name w:val="table of figures"/>
    <w:basedOn w:val="Normal"/>
    <w:next w:val="Normal"/>
    <w:semiHidden/>
    <w:rsid w:val="006F4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B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B32"/>
    <w:rPr>
      <w:rFonts w:ascii="Wingdings" w:hAnsi="Wingdings"/>
    </w:rPr>
  </w:style>
  <w:style w:type="paragraph" w:customStyle="1" w:styleId="TableHeading">
    <w:name w:val="Table Heading"/>
    <w:basedOn w:val="HeadingBase"/>
    <w:rsid w:val="006F4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B32"/>
    <w:rPr>
      <w:color w:val="0033CC"/>
      <w:u w:val="none"/>
    </w:rPr>
  </w:style>
  <w:style w:type="paragraph" w:customStyle="1" w:styleId="BodyTextRight">
    <w:name w:val="Body Text Right"/>
    <w:basedOn w:val="BodyText"/>
    <w:rsid w:val="006F4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B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B32"/>
    <w:rPr>
      <w:sz w:val="32"/>
    </w:rPr>
  </w:style>
  <w:style w:type="paragraph" w:customStyle="1" w:styleId="HeadingProcedure">
    <w:name w:val="Heading Procedure"/>
    <w:basedOn w:val="HeadingBase"/>
    <w:next w:val="Normal"/>
    <w:rsid w:val="006F4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B32"/>
    <w:pPr>
      <w:spacing w:before="60" w:after="60"/>
    </w:pPr>
  </w:style>
  <w:style w:type="paragraph" w:styleId="ListContinue">
    <w:name w:val="List Continue"/>
    <w:basedOn w:val="List"/>
    <w:rsid w:val="006F4B32"/>
    <w:pPr>
      <w:ind w:firstLine="0"/>
    </w:pPr>
  </w:style>
  <w:style w:type="paragraph" w:customStyle="1" w:styleId="ListNote">
    <w:name w:val="List Note"/>
    <w:basedOn w:val="List"/>
    <w:rsid w:val="006F4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B32"/>
    <w:rPr>
      <w:rFonts w:ascii="Courier New" w:hAnsi="Courier New"/>
    </w:rPr>
  </w:style>
  <w:style w:type="paragraph" w:customStyle="1" w:styleId="NoteBullet">
    <w:name w:val="Note Bullet"/>
    <w:basedOn w:val="Note"/>
    <w:rsid w:val="006F4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B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B32"/>
    <w:rPr>
      <w:b/>
      <w:smallCaps/>
    </w:rPr>
  </w:style>
  <w:style w:type="paragraph" w:customStyle="1" w:styleId="TableListNumber">
    <w:name w:val="Table List Number"/>
    <w:basedOn w:val="ListNumber"/>
    <w:rsid w:val="006F4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B32"/>
    <w:pPr>
      <w:numPr>
        <w:numId w:val="8"/>
      </w:numPr>
    </w:pPr>
  </w:style>
  <w:style w:type="paragraph" w:customStyle="1" w:styleId="ListAlpha2">
    <w:name w:val="List Alpha 2"/>
    <w:basedOn w:val="List2"/>
    <w:rsid w:val="006F4B32"/>
    <w:pPr>
      <w:numPr>
        <w:numId w:val="7"/>
      </w:numPr>
    </w:pPr>
  </w:style>
  <w:style w:type="paragraph" w:styleId="List2">
    <w:name w:val="List 2"/>
    <w:basedOn w:val="BodyText"/>
    <w:rsid w:val="006F4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B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B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B32"/>
    <w:pPr>
      <w:numPr>
        <w:numId w:val="3"/>
      </w:numPr>
    </w:pPr>
  </w:style>
  <w:style w:type="paragraph" w:styleId="ListContinue2">
    <w:name w:val="List Continue 2"/>
    <w:basedOn w:val="List2"/>
    <w:rsid w:val="006F4B32"/>
    <w:pPr>
      <w:ind w:firstLine="0"/>
    </w:pPr>
  </w:style>
  <w:style w:type="paragraph" w:styleId="ListContinue3">
    <w:name w:val="List Continue 3"/>
    <w:basedOn w:val="List3"/>
    <w:rsid w:val="006F4B32"/>
    <w:pPr>
      <w:ind w:left="1021" w:firstLine="0"/>
    </w:pPr>
  </w:style>
  <w:style w:type="paragraph" w:styleId="ListContinue4">
    <w:name w:val="List Continue 4"/>
    <w:basedOn w:val="List4"/>
    <w:rsid w:val="006F4B32"/>
    <w:pPr>
      <w:ind w:firstLine="0"/>
    </w:pPr>
  </w:style>
  <w:style w:type="paragraph" w:styleId="ListContinue5">
    <w:name w:val="List Continue 5"/>
    <w:basedOn w:val="List5"/>
    <w:rsid w:val="006F4B32"/>
    <w:pPr>
      <w:ind w:firstLine="0"/>
    </w:pPr>
  </w:style>
  <w:style w:type="paragraph" w:styleId="ListNumber3">
    <w:name w:val="List Number 3"/>
    <w:basedOn w:val="List3"/>
    <w:rsid w:val="006F4B32"/>
    <w:pPr>
      <w:numPr>
        <w:numId w:val="4"/>
      </w:numPr>
    </w:pPr>
  </w:style>
  <w:style w:type="paragraph" w:styleId="ListNumber4">
    <w:name w:val="List Number 4"/>
    <w:basedOn w:val="List4"/>
    <w:rsid w:val="006F4B32"/>
    <w:pPr>
      <w:numPr>
        <w:numId w:val="5"/>
      </w:numPr>
    </w:pPr>
  </w:style>
  <w:style w:type="paragraph" w:styleId="ListNumber5">
    <w:name w:val="List Number 5"/>
    <w:basedOn w:val="List5"/>
    <w:rsid w:val="006F4B32"/>
    <w:pPr>
      <w:numPr>
        <w:numId w:val="6"/>
      </w:numPr>
    </w:pPr>
  </w:style>
  <w:style w:type="paragraph" w:styleId="BlockText">
    <w:name w:val="Block Text"/>
    <w:basedOn w:val="Normal"/>
    <w:rsid w:val="006F4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B32"/>
    <w:rPr>
      <w:sz w:val="16"/>
      <w:vertAlign w:val="superscript"/>
    </w:rPr>
  </w:style>
  <w:style w:type="character" w:customStyle="1" w:styleId="Symbols">
    <w:name w:val="Symbols"/>
    <w:basedOn w:val="DefaultParagraphFont"/>
    <w:rsid w:val="006F4B32"/>
    <w:rPr>
      <w:rFonts w:ascii="Symbol" w:hAnsi="Symbol"/>
    </w:rPr>
  </w:style>
  <w:style w:type="character" w:customStyle="1" w:styleId="MenuOptions">
    <w:name w:val="Menu Options"/>
    <w:basedOn w:val="DefaultParagraphFont"/>
    <w:rsid w:val="006F4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B32"/>
    <w:rPr>
      <w:b/>
    </w:rPr>
  </w:style>
  <w:style w:type="character" w:customStyle="1" w:styleId="Underlined">
    <w:name w:val="Underlined"/>
    <w:basedOn w:val="DefaultParagraphFont"/>
    <w:rsid w:val="006F4B32"/>
    <w:rPr>
      <w:u w:val="single"/>
    </w:rPr>
  </w:style>
  <w:style w:type="paragraph" w:customStyle="1" w:styleId="TableBodyTextRight">
    <w:name w:val="Table Body Text Right"/>
    <w:basedOn w:val="TableBodyText"/>
    <w:rsid w:val="006F4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B32"/>
    <w:rPr>
      <w:sz w:val="18"/>
    </w:rPr>
  </w:style>
  <w:style w:type="paragraph" w:customStyle="1" w:styleId="BodySmallRight">
    <w:name w:val="Body Small Right"/>
    <w:basedOn w:val="BodyTextRight"/>
    <w:rsid w:val="006F4B32"/>
    <w:rPr>
      <w:sz w:val="18"/>
      <w:szCs w:val="18"/>
    </w:rPr>
  </w:style>
  <w:style w:type="paragraph" w:customStyle="1" w:styleId="MarginEdition">
    <w:name w:val="Margin Edition"/>
    <w:basedOn w:val="MarginNote"/>
    <w:rsid w:val="006F4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B32"/>
    <w:rPr>
      <w:sz w:val="2"/>
      <w:szCs w:val="2"/>
    </w:rPr>
  </w:style>
  <w:style w:type="character" w:customStyle="1" w:styleId="Small">
    <w:name w:val="Small"/>
    <w:basedOn w:val="DefaultParagraphFont"/>
    <w:rsid w:val="006F4B32"/>
    <w:rPr>
      <w:sz w:val="16"/>
    </w:rPr>
  </w:style>
  <w:style w:type="paragraph" w:customStyle="1" w:styleId="WideTable">
    <w:name w:val="Wide Table"/>
    <w:basedOn w:val="Normal"/>
    <w:rsid w:val="006F4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B32"/>
  </w:style>
  <w:style w:type="paragraph" w:styleId="Quote">
    <w:name w:val="Quote"/>
    <w:basedOn w:val="Heading1"/>
    <w:link w:val="QuoteChar"/>
    <w:qFormat/>
    <w:rsid w:val="006F4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B32"/>
    <w:pPr>
      <w:pageBreakBefore/>
    </w:pPr>
  </w:style>
  <w:style w:type="paragraph" w:customStyle="1" w:styleId="Border">
    <w:name w:val="Border"/>
    <w:basedOn w:val="Normal"/>
    <w:qFormat/>
    <w:rsid w:val="006F4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B32"/>
    <w:rPr>
      <w:u w:val="single"/>
    </w:rPr>
  </w:style>
  <w:style w:type="character" w:customStyle="1" w:styleId="BoldandItalics">
    <w:name w:val="Bold and Italics"/>
    <w:qFormat/>
    <w:rsid w:val="006F4B32"/>
    <w:rPr>
      <w:b/>
      <w:i/>
      <w:u w:val="none"/>
    </w:rPr>
  </w:style>
  <w:style w:type="paragraph" w:styleId="BalloonText">
    <w:name w:val="Balloon Text"/>
    <w:basedOn w:val="Normal"/>
    <w:link w:val="BalloonTextChar"/>
    <w:rsid w:val="006F4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B32"/>
    <w:pPr>
      <w:spacing w:before="0" w:after="0"/>
    </w:pPr>
  </w:style>
  <w:style w:type="paragraph" w:customStyle="1" w:styleId="BodyTextBold">
    <w:name w:val="Body Text Bold"/>
    <w:basedOn w:val="BodyText"/>
    <w:qFormat/>
    <w:rsid w:val="006F4B32"/>
    <w:rPr>
      <w:b/>
    </w:rPr>
  </w:style>
  <w:style w:type="character" w:styleId="Hyperlink">
    <w:name w:val="Hyperlink"/>
    <w:basedOn w:val="DefaultParagraphFont"/>
    <w:uiPriority w:val="99"/>
    <w:unhideWhenUsed/>
    <w:rsid w:val="00057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4763</Characters>
  <Application>Microsoft Office Word</Application>
  <DocSecurity>0</DocSecurity>
  <Lines>183</Lines>
  <Paragraphs>114</Paragraphs>
  <ScaleCrop>false</ScaleCrop>
  <Company>Author-it Software Corporation Ltd.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BSBATSIM412 Implement a businesslike approach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