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215" w:rsidP="00B30215">
      <w:pPr>
        <w:pStyle w:val="Title"/>
      </w:pPr>
      <w:bookmarkStart w:id="0" w:name="O_384481"/>
      <w:bookmarkEnd w:id="0"/>
      <w:r>
        <w:fldChar w:fldCharType="begin"/>
      </w:r>
      <w:r>
        <w:instrText xml:space="preserve"> TITLE   \* MERGEFORMAT </w:instrText>
      </w:r>
      <w:r>
        <w:fldChar w:fldCharType="separate"/>
      </w:r>
      <w:r>
        <w:t>BSALF401A Maintain trust accounts</w:t>
      </w:r>
      <w:r>
        <w:fldChar w:fldCharType="end"/>
      </w:r>
    </w:p>
    <w:p w:rsidR="00B30215" w:rsidP="00B30215">
      <w:pPr>
        <w:pStyle w:val="Version"/>
        <w:sectPr w:rsidSect="001A0C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C97" w:rsidP="001A0C97">
      <w:pPr>
        <w:pStyle w:val="Heading1"/>
      </w:pPr>
      <w:r w:rsidRPr="001A0C97">
        <w:t>Modification History</w:t>
      </w:r>
    </w:p>
    <w:p w:rsidR="00000000" w:rsidRPr="001A0C97" w:rsidP="001A0C97">
      <w:pPr>
        <w:pStyle w:val="BodyText"/>
      </w:pPr>
      <w:r w:rsidRPr="001A0C97">
        <w:t>Not Available</w:t>
      </w:r>
    </w:p>
    <w:p w:rsidR="00000000" w:rsidRPr="001A0C97" w:rsidP="001A0C97">
      <w:pPr>
        <w:pStyle w:val="AllowPageBreak"/>
      </w:pPr>
    </w:p>
    <w:p w:rsidR="00000000" w:rsidRPr="001A0C97" w:rsidP="001A0C97">
      <w:pPr>
        <w:pStyle w:val="Heading1"/>
      </w:pPr>
      <w:bookmarkStart w:id="2" w:name="O_384482"/>
      <w:bookmarkEnd w:id="2"/>
      <w:r w:rsidRPr="001A0C97">
        <w:t>INTRODUCTION</w:t>
      </w:r>
    </w:p>
    <w:p w:rsidR="00000000" w:rsidRPr="001A0C97" w:rsidP="001A0C97">
      <w:pPr>
        <w:pStyle w:val="BodyText"/>
      </w:pPr>
      <w:r w:rsidRPr="001A0C97">
        <w:t>This Unit covers the maintenance of trust monies related to specific files, under the instruction of a legal practitioner.</w:t>
      </w:r>
    </w:p>
    <w:p w:rsidR="00000000" w:rsidRPr="001A0C97" w:rsidP="001A0C97">
      <w:pPr>
        <w:pStyle w:val="BodyText"/>
      </w:pPr>
      <w:r w:rsidRPr="001A0C97">
        <w:t>Note: It may be illegal for a person without a c</w:t>
      </w:r>
      <w:r w:rsidRPr="001A0C97">
        <w:t xml:space="preserve">urrent legal practice certificate to provide legal advice, to sign off on legal work and receive trust account monies. The use of trust account monies is subject to legislative control. Accordingly work carried out in regard to trust account monies occurs </w:t>
      </w:r>
      <w:r w:rsidRPr="001A0C97">
        <w:t>under the instruction of a legal practitioner and is of a complex but specified nature. Therefore the position of this unit at AQF Level 4 is in relation to the level of responsibility and technical complexity required in the tasks involved.</w:t>
      </w:r>
    </w:p>
    <w:p w:rsidR="00000000" w:rsidRPr="001A0C97" w:rsidP="001A0C97">
      <w:pPr>
        <w:pStyle w:val="BodyText"/>
      </w:pPr>
      <w:r w:rsidRPr="001A0C97">
        <w:t xml:space="preserve">This unit can </w:t>
      </w:r>
      <w:r w:rsidRPr="001A0C97">
        <w:t>be assessed alone or in combination with other units making up a job role.</w:t>
      </w:r>
    </w:p>
    <w:p w:rsidR="00000000" w:rsidRPr="001A0C97" w:rsidP="001A0C97">
      <w:pPr>
        <w:pStyle w:val="BodyText"/>
      </w:pPr>
    </w:p>
    <w:tbl>
      <w:tblPr>
        <w:tblW w:w="0" w:type="auto"/>
        <w:tblCellMar>
          <w:left w:w="62" w:type="dxa"/>
          <w:right w:w="62" w:type="dxa"/>
        </w:tblCellMar>
        <w:tblLook w:val="0000"/>
      </w:tblPr>
      <w:tblGrid>
        <w:gridCol w:w="3542"/>
        <w:gridCol w:w="5654"/>
      </w:tblGrid>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0C97">
            <w:pPr>
              <w:pStyle w:val="Heading2"/>
            </w:pPr>
            <w:r w:rsidRPr="001A0C97">
              <w:t>Element</w:t>
            </w:r>
          </w:p>
        </w:tc>
        <w:tc>
          <w:tcPr>
            <w:tcW w:w="0" w:type="auto"/>
            <w:tcBorders>
              <w:top w:val="nil"/>
              <w:left w:val="nil"/>
              <w:bottom w:val="nil"/>
              <w:right w:val="nil"/>
            </w:tcBorders>
            <w:tcMar>
              <w:top w:w="0" w:type="dxa"/>
              <w:left w:w="62" w:type="dxa"/>
              <w:bottom w:w="0" w:type="dxa"/>
              <w:right w:w="62" w:type="dxa"/>
            </w:tcMar>
          </w:tcPr>
          <w:p w:rsidR="00000000" w:rsidP="001A0C97">
            <w:pPr>
              <w:pStyle w:val="Heading2"/>
            </w:pPr>
            <w:r w:rsidRPr="001A0C97">
              <w:t>Performance Criteria</w:t>
            </w: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0C97">
            <w:pPr>
              <w:pStyle w:val="BodyText"/>
              <w:rPr>
                <w:lang w:val="en-NZ"/>
              </w:rPr>
            </w:pPr>
            <w:r w:rsidRPr="001A0C97">
              <w:t>Check that trust funds are adequate</w:t>
            </w: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   Relevant sources are checked for information regarding disbursements and costs</w:t>
            </w:r>
          </w:p>
          <w:p w:rsidR="00000000" w:rsidRPr="001A0C97" w:rsidP="001A0C97">
            <w:pPr>
              <w:pStyle w:val="List"/>
            </w:pPr>
            <w:r w:rsidRPr="001A0C97">
              <w:t>•</w:t>
            </w:r>
            <w:r w:rsidRPr="001A0C97">
              <w:t xml:space="preserve">   Estimated disbursements and costs are calculated and reconciled with available trust funds</w:t>
            </w:r>
          </w:p>
          <w:p w:rsidR="00000000" w:rsidRPr="001A0C97" w:rsidP="001A0C97">
            <w:pPr>
              <w:pStyle w:val="List"/>
            </w:pPr>
            <w:r w:rsidRPr="001A0C97">
              <w:t>•   Instructing legal practitioner is notified where there are inadequate available funds</w:t>
            </w:r>
          </w:p>
          <w:p w:rsidR="00000000" w:rsidRPr="001A0C97" w:rsidP="001A0C97">
            <w:pPr>
              <w:pStyle w:val="List"/>
            </w:pPr>
            <w:r w:rsidRPr="001A0C97">
              <w:t>•   Client is notified that further funds are required, where necessary,</w:t>
            </w:r>
            <w:r w:rsidRPr="001A0C97">
              <w:t xml:space="preserve"> according to a firm’s policies and procedures</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0C97">
            <w:pPr>
              <w:pStyle w:val="BodyText"/>
              <w:rPr>
                <w:lang w:val="en-NZ"/>
              </w:rPr>
            </w:pPr>
            <w:r w:rsidRPr="001A0C97">
              <w:t>Draw cheque/s against the trust account</w:t>
            </w: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   Appropriate requisition form is completed</w:t>
            </w:r>
          </w:p>
          <w:p w:rsidR="00000000" w:rsidRPr="001A0C97" w:rsidP="001A0C97">
            <w:pPr>
              <w:pStyle w:val="List"/>
            </w:pPr>
            <w:r w:rsidRPr="001A0C97">
              <w:t>•   Authorisation is gained from instructing legal practitioner according to a firm’s policies and procedures</w:t>
            </w:r>
          </w:p>
          <w:p w:rsidR="00000000" w:rsidRPr="001A0C97" w:rsidP="001A0C97">
            <w:pPr>
              <w:pStyle w:val="List"/>
            </w:pPr>
            <w:r w:rsidRPr="001A0C97">
              <w:t>•   Cheque/</w:t>
            </w:r>
            <w:r w:rsidRPr="001A0C97">
              <w:t>s are inspected for accurate amount and correct account source</w:t>
            </w:r>
          </w:p>
          <w:p w:rsidR="00000000" w:rsidRPr="001A0C97" w:rsidP="001A0C97">
            <w:pPr>
              <w:pStyle w:val="List"/>
            </w:pPr>
            <w:r w:rsidRPr="001A0C97">
              <w:t>•   Instructing legal practitioner is organised to verify and sign cheques</w:t>
            </w:r>
          </w:p>
          <w:p w:rsidR="00000000" w:rsidRPr="001A0C97" w:rsidP="001A0C97">
            <w:pPr>
              <w:pStyle w:val="List"/>
            </w:pPr>
            <w:r w:rsidRPr="001A0C97">
              <w:t>•   Accurate records are kept of all file related disbursements and costs</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0C97">
            <w:pPr>
              <w:pStyle w:val="BodyText"/>
              <w:rPr>
                <w:lang w:val="en-NZ"/>
              </w:rPr>
            </w:pPr>
            <w:r w:rsidRPr="001A0C97">
              <w:t>Prepare documentation upon completion of l</w:t>
            </w:r>
            <w:r w:rsidRPr="001A0C97">
              <w:t>egal matter</w:t>
            </w: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   Relevant information/documentation from file is collated</w:t>
            </w:r>
          </w:p>
          <w:p w:rsidR="00000000" w:rsidRPr="001A0C97" w:rsidP="001A0C97">
            <w:pPr>
              <w:pStyle w:val="List"/>
            </w:pPr>
            <w:r w:rsidRPr="001A0C97">
              <w:t>•   Monies remaining in trust account are reconciled</w:t>
            </w:r>
          </w:p>
          <w:p w:rsidR="00000000" w:rsidRPr="001A0C97" w:rsidP="001A0C97">
            <w:pPr>
              <w:pStyle w:val="List"/>
            </w:pPr>
            <w:r w:rsidRPr="001A0C97">
              <w:t>•   Discrepancies/irregularities are investigated promptly and appropriate follow up action is taken</w:t>
            </w:r>
          </w:p>
          <w:p w:rsidR="00000000" w:rsidRPr="001A0C97" w:rsidP="001A0C97">
            <w:pPr>
              <w:pStyle w:val="List"/>
            </w:pPr>
          </w:p>
        </w:tc>
      </w:tr>
    </w:tbl>
    <w:p w:rsidR="00000000" w:rsidRPr="001A0C97" w:rsidP="001A0C97">
      <w:pPr>
        <w:pStyle w:val="BodyText"/>
      </w:pPr>
    </w:p>
    <w:p w:rsidR="00000000" w:rsidRPr="001A0C97" w:rsidP="001A0C97"/>
    <w:p w:rsidR="00000000" w:rsidRPr="001A0C97" w:rsidP="001A0C97">
      <w:pPr>
        <w:sectPr w:rsidSect="001A0C97">
          <w:headerReference w:type="default" r:id="rId10"/>
          <w:footerReference w:type="default" r:id="rId11"/>
          <w:pgSz w:w="11908" w:h="16833"/>
          <w:pgMar w:top="1700" w:right="1418" w:bottom="1700" w:left="1418" w:header="992" w:footer="992" w:gutter="0"/>
          <w:cols w:space="720"/>
          <w:noEndnote/>
          <w:docGrid w:linePitch="299"/>
        </w:sectPr>
      </w:pPr>
    </w:p>
    <w:p w:rsidR="00000000" w:rsidRPr="001A0C97" w:rsidP="001A0C97">
      <w:pPr>
        <w:pStyle w:val="Heading1"/>
      </w:pPr>
      <w:bookmarkStart w:id="3" w:name="O_384483"/>
      <w:bookmarkEnd w:id="3"/>
      <w:r w:rsidRPr="001A0C97">
        <w:t>RANGE OF VARIABLES</w:t>
      </w:r>
    </w:p>
    <w:tbl>
      <w:tblPr>
        <w:tblW w:w="0" w:type="auto"/>
        <w:tblCellMar>
          <w:left w:w="62" w:type="dxa"/>
          <w:right w:w="62" w:type="dxa"/>
        </w:tblCellMar>
        <w:tblLook w:val="0000"/>
      </w:tblPr>
      <w:tblGrid>
        <w:gridCol w:w="3529"/>
        <w:gridCol w:w="5667"/>
      </w:tblGrid>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Relevant information sources may include:</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   information from open file</w:t>
            </w:r>
          </w:p>
          <w:p w:rsidR="00000000" w:rsidRPr="001A0C97" w:rsidP="001A0C97">
            <w:pPr>
              <w:pStyle w:val="List"/>
            </w:pPr>
            <w:r w:rsidRPr="001A0C97">
              <w:t>•   monies received into the trust account</w:t>
            </w:r>
          </w:p>
          <w:p w:rsidR="00000000" w:rsidRPr="001A0C97" w:rsidP="001A0C97">
            <w:pPr>
              <w:pStyle w:val="List"/>
            </w:pPr>
            <w:r w:rsidRPr="001A0C97">
              <w:t>•   transactions on the trust account</w:t>
            </w:r>
          </w:p>
          <w:p w:rsidR="00000000" w:rsidRPr="001A0C97" w:rsidP="001A0C97">
            <w:pPr>
              <w:pStyle w:val="List"/>
            </w:pPr>
            <w:r w:rsidRPr="001A0C97">
              <w:t>•   petty cash vouchers</w:t>
            </w:r>
          </w:p>
          <w:p w:rsidR="00000000" w:rsidRPr="001A0C97" w:rsidP="001A0C97">
            <w:pPr>
              <w:pStyle w:val="List"/>
            </w:pPr>
            <w:r w:rsidRPr="001A0C97">
              <w:t>•   petty cash book</w:t>
            </w:r>
          </w:p>
          <w:p w:rsidR="00000000" w:rsidRPr="001A0C97" w:rsidP="001A0C97">
            <w:pPr>
              <w:pStyle w:val="List"/>
            </w:pPr>
            <w:r w:rsidRPr="001A0C97">
              <w:t>•</w:t>
            </w:r>
            <w:r w:rsidRPr="001A0C97">
              <w:t xml:space="preserve">   purchase requisitions and orders</w:t>
            </w:r>
          </w:p>
          <w:p w:rsidR="00000000" w:rsidRPr="001A0C97" w:rsidP="001A0C97">
            <w:pPr>
              <w:pStyle w:val="List"/>
            </w:pPr>
            <w:r w:rsidRPr="001A0C97">
              <w:t>•   invoices and receipts</w:t>
            </w:r>
          </w:p>
          <w:p w:rsidR="00000000" w:rsidRPr="001A0C97" w:rsidP="001A0C97">
            <w:pPr>
              <w:pStyle w:val="List"/>
            </w:pPr>
            <w:r w:rsidRPr="001A0C97">
              <w:t>•   delivery dockets</w:t>
            </w:r>
          </w:p>
          <w:p w:rsidR="00000000" w:rsidRPr="001A0C97" w:rsidP="001A0C97">
            <w:pPr>
              <w:pStyle w:val="List"/>
            </w:pPr>
            <w:r w:rsidRPr="001A0C97">
              <w:t>•   credit notes</w:t>
            </w:r>
          </w:p>
          <w:p w:rsidR="00000000" w:rsidRPr="001A0C97" w:rsidP="001A0C97">
            <w:pPr>
              <w:pStyle w:val="List"/>
            </w:pPr>
            <w:r w:rsidRPr="001A0C97">
              <w:t>•   statements</w:t>
            </w:r>
          </w:p>
          <w:p w:rsidR="00000000" w:rsidRPr="001A0C97" w:rsidP="001A0C97">
            <w:pPr>
              <w:pStyle w:val="List"/>
            </w:pPr>
            <w:r w:rsidRPr="001A0C97">
              <w:t>•   cheques</w:t>
            </w:r>
          </w:p>
          <w:p w:rsidR="00000000" w:rsidRPr="001A0C97" w:rsidP="001A0C97">
            <w:pPr>
              <w:pStyle w:val="List"/>
            </w:pPr>
            <w:r w:rsidRPr="001A0C97">
              <w:t>•   deposit books</w:t>
            </w:r>
          </w:p>
          <w:p w:rsidR="00000000" w:rsidRPr="001A0C97" w:rsidP="001A0C97">
            <w:pPr>
              <w:pStyle w:val="List"/>
            </w:pPr>
            <w:r w:rsidRPr="001A0C97">
              <w:t>•   bank statements</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Disbursements may include:</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w:t>
            </w:r>
            <w:r w:rsidRPr="001A0C97">
              <w:tab/>
              <w:t>filing fees</w:t>
            </w:r>
          </w:p>
          <w:p w:rsidR="00000000" w:rsidRPr="001A0C97" w:rsidP="001A0C97">
            <w:pPr>
              <w:pStyle w:val="List"/>
            </w:pPr>
            <w:r w:rsidRPr="001A0C97">
              <w:t>•</w:t>
            </w:r>
            <w:r w:rsidRPr="001A0C97">
              <w:tab/>
              <w:t>photocopying</w:t>
            </w:r>
          </w:p>
          <w:p w:rsidR="00000000" w:rsidRPr="001A0C97" w:rsidP="001A0C97">
            <w:pPr>
              <w:pStyle w:val="List"/>
            </w:pPr>
            <w:r w:rsidRPr="001A0C97">
              <w:t>•</w:t>
            </w:r>
            <w:r w:rsidRPr="001A0C97">
              <w:tab/>
              <w:t>postage</w:t>
            </w:r>
          </w:p>
          <w:p w:rsidR="00000000" w:rsidRPr="001A0C97" w:rsidP="001A0C97">
            <w:pPr>
              <w:pStyle w:val="List"/>
            </w:pPr>
            <w:r w:rsidRPr="001A0C97">
              <w:t>•</w:t>
            </w:r>
            <w:r w:rsidRPr="001A0C97">
              <w:tab/>
              <w:t>cost of duty stamps</w:t>
            </w:r>
          </w:p>
          <w:p w:rsidR="00000000" w:rsidRPr="001A0C97" w:rsidP="001A0C97">
            <w:pPr>
              <w:pStyle w:val="List"/>
            </w:pPr>
            <w:r w:rsidRPr="001A0C97">
              <w:t>•</w:t>
            </w:r>
            <w:r w:rsidRPr="001A0C97">
              <w:tab/>
              <w:t>court costs</w:t>
            </w:r>
          </w:p>
          <w:p w:rsidR="00000000" w:rsidRPr="001A0C97" w:rsidP="001A0C97">
            <w:pPr>
              <w:pStyle w:val="List"/>
            </w:pPr>
            <w:r w:rsidRPr="001A0C97">
              <w:t>•</w:t>
            </w:r>
            <w:r w:rsidRPr="001A0C97">
              <w:tab/>
              <w:t>telephone charges</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Trust account procedures may include:</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w:t>
            </w:r>
            <w:r w:rsidRPr="001A0C97">
              <w:tab/>
              <w:t>arrangements with banks to prevent the following deductions from trust accounts</w:t>
            </w:r>
          </w:p>
          <w:p w:rsidR="00000000" w:rsidRPr="001A0C97" w:rsidP="001A0C97">
            <w:pPr>
              <w:pStyle w:val="List2"/>
            </w:pPr>
            <w:r w:rsidRPr="001A0C97">
              <w:t>- FID Tax</w:t>
            </w:r>
          </w:p>
          <w:p w:rsidR="00000000" w:rsidRPr="001A0C97" w:rsidP="001A0C97">
            <w:pPr>
              <w:pStyle w:val="List2"/>
            </w:pPr>
            <w:r w:rsidRPr="001A0C97">
              <w:t>- BAD Tax</w:t>
            </w:r>
          </w:p>
          <w:p w:rsidR="00000000" w:rsidRPr="001A0C97" w:rsidP="001A0C97">
            <w:pPr>
              <w:pStyle w:val="List2"/>
            </w:pPr>
            <w:r w:rsidRPr="001A0C97">
              <w:t>- Bank charges</w:t>
            </w:r>
          </w:p>
          <w:p w:rsidR="00000000" w:rsidP="001A0C97">
            <w:pPr>
              <w:pStyle w:val="List"/>
              <w:rPr>
                <w:lang w:val="en-NZ"/>
              </w:rPr>
            </w:pPr>
            <w:r w:rsidRPr="001A0C97">
              <w:t>•</w:t>
            </w:r>
            <w:r w:rsidRPr="001A0C97">
              <w:tab/>
              <w:t>reporting to state law society/institute as required by law</w:t>
            </w: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Methods for maintaining trust accounts may include:</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w:t>
            </w:r>
            <w:r w:rsidRPr="001A0C97">
              <w:tab/>
              <w:t>hard copy</w:t>
            </w:r>
          </w:p>
          <w:p w:rsidR="00000000" w:rsidRPr="001A0C97" w:rsidP="001A0C97">
            <w:pPr>
              <w:pStyle w:val="List"/>
            </w:pPr>
            <w:r w:rsidRPr="001A0C97">
              <w:t>•</w:t>
            </w:r>
            <w:r w:rsidRPr="001A0C97">
              <w:tab/>
              <w:t>standard books of account</w:t>
            </w:r>
          </w:p>
          <w:p w:rsidR="00000000" w:rsidP="001A0C97">
            <w:pPr>
              <w:pStyle w:val="List"/>
              <w:rPr>
                <w:lang w:val="en-NZ"/>
              </w:rPr>
            </w:pPr>
            <w:r w:rsidRPr="001A0C97">
              <w:t>•</w:t>
            </w:r>
            <w:r w:rsidRPr="001A0C97">
              <w:tab/>
              <w:t>specialised software</w:t>
            </w: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Details to be completed on requisition form include:</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   file/matter number</w:t>
            </w:r>
          </w:p>
          <w:p w:rsidR="00000000" w:rsidRPr="001A0C97" w:rsidP="001A0C97">
            <w:pPr>
              <w:pStyle w:val="List"/>
            </w:pPr>
            <w:r w:rsidRPr="001A0C97">
              <w:t>•   amount</w:t>
            </w:r>
          </w:p>
          <w:p w:rsidR="00000000" w:rsidRPr="001A0C97" w:rsidP="001A0C97">
            <w:pPr>
              <w:pStyle w:val="List"/>
            </w:pPr>
            <w:r w:rsidRPr="001A0C97">
              <w:t>•   description of reason for cheque or receipt</w:t>
            </w:r>
          </w:p>
          <w:p w:rsidR="00000000" w:rsidP="001A0C97">
            <w:pPr>
              <w:pStyle w:val="List"/>
              <w:rPr>
                <w:lang w:val="en-NZ"/>
              </w:rPr>
            </w:pPr>
            <w:r w:rsidRPr="001A0C97">
              <w:t xml:space="preserve">•  </w:t>
            </w:r>
            <w:r w:rsidRPr="001A0C97">
              <w:t xml:space="preserve"> authorisation/signatures of designated person</w:t>
            </w: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Recording mechanisms/systems may:</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w:t>
            </w:r>
            <w:r w:rsidRPr="001A0C97">
              <w:tab/>
              <w:t>be paper-based</w:t>
            </w:r>
          </w:p>
          <w:p w:rsidR="00000000" w:rsidRPr="001A0C97" w:rsidP="001A0C97">
            <w:pPr>
              <w:pStyle w:val="List"/>
            </w:pPr>
            <w:r w:rsidRPr="001A0C97">
              <w:t>•</w:t>
            </w:r>
            <w:r w:rsidRPr="001A0C97">
              <w:tab/>
              <w:t>be electronic</w:t>
            </w:r>
          </w:p>
          <w:p w:rsidR="00000000" w:rsidRPr="001A0C97" w:rsidP="001A0C97">
            <w:pPr>
              <w:pStyle w:val="List"/>
            </w:pPr>
            <w:r w:rsidRPr="001A0C97">
              <w:t>•</w:t>
            </w:r>
            <w:r w:rsidRPr="001A0C97">
              <w:tab/>
              <w:t>vary according to a firm’s accounting system</w:t>
            </w:r>
          </w:p>
          <w:p w:rsidR="00000000" w:rsidRPr="001A0C97" w:rsidP="001A0C97">
            <w:pPr>
              <w:pStyle w:val="List"/>
            </w:pPr>
            <w:r w:rsidRPr="001A0C97">
              <w:t>•</w:t>
            </w:r>
            <w:r w:rsidRPr="001A0C97">
              <w:tab/>
              <w:t>vary according to bank requirements</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A firm’s accounting system may:</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     be paper-based</w:t>
            </w:r>
          </w:p>
          <w:p w:rsidR="00000000" w:rsidRPr="001A0C97" w:rsidP="001A0C97">
            <w:pPr>
              <w:pStyle w:val="List2"/>
            </w:pPr>
            <w:r w:rsidRPr="001A0C97">
              <w:t>- cash books</w:t>
            </w:r>
          </w:p>
          <w:p w:rsidR="00000000" w:rsidRPr="001A0C97" w:rsidP="001A0C97">
            <w:pPr>
              <w:pStyle w:val="List2"/>
            </w:pPr>
            <w:r w:rsidRPr="001A0C97">
              <w:t>- journals</w:t>
            </w:r>
          </w:p>
          <w:p w:rsidR="00000000" w:rsidRPr="001A0C97" w:rsidP="001A0C97">
            <w:pPr>
              <w:pStyle w:val="List"/>
            </w:pPr>
            <w:r w:rsidRPr="001A0C97">
              <w:t>•     be electronic</w:t>
            </w:r>
          </w:p>
          <w:p w:rsidR="00000000" w:rsidRPr="001A0C97" w:rsidP="001A0C97">
            <w:pPr>
              <w:pStyle w:val="List2"/>
            </w:pPr>
            <w:r w:rsidRPr="001A0C97">
              <w:t>- commercial software package</w:t>
            </w:r>
          </w:p>
          <w:p w:rsidR="00000000" w:rsidRPr="001A0C97" w:rsidP="001A0C97">
            <w:pPr>
              <w:pStyle w:val="List2"/>
            </w:pPr>
            <w:r w:rsidRPr="001A0C97">
              <w:t>- customised software package</w:t>
            </w:r>
          </w:p>
          <w:p w:rsidR="00000000" w:rsidRPr="001A0C97" w:rsidP="001A0C97">
            <w:pPr>
              <w:pStyle w:val="List"/>
            </w:pPr>
            <w:r w:rsidRPr="001A0C97">
              <w:t>•     vary according to a firm’s accounting system</w:t>
            </w:r>
          </w:p>
          <w:p w:rsidR="00000000" w:rsidRPr="001A0C97" w:rsidP="001A0C97">
            <w:pPr>
              <w:pStyle w:val="List"/>
            </w:pPr>
            <w:r w:rsidRPr="001A0C97">
              <w:t>•     vary according to bank requirements</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Financial documentation for clients may include:</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w:t>
            </w:r>
            <w:r w:rsidRPr="001A0C97">
              <w:tab/>
            </w:r>
            <w:r w:rsidRPr="001A0C97">
              <w:t>statement of accounts</w:t>
            </w:r>
          </w:p>
          <w:p w:rsidR="00000000" w:rsidRPr="001A0C97" w:rsidP="001A0C97">
            <w:pPr>
              <w:pStyle w:val="List"/>
            </w:pPr>
            <w:r w:rsidRPr="001A0C97">
              <w:t>•</w:t>
            </w:r>
            <w:r w:rsidRPr="001A0C97">
              <w:tab/>
              <w:t>calculation of fees</w:t>
            </w:r>
          </w:p>
          <w:p w:rsidR="00000000" w:rsidRPr="001A0C97" w:rsidP="001A0C97">
            <w:pPr>
              <w:pStyle w:val="List"/>
            </w:pPr>
            <w:r w:rsidRPr="001A0C97">
              <w:t>•</w:t>
            </w:r>
            <w:r w:rsidRPr="001A0C97">
              <w:tab/>
              <w:t>copies of receipts</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A firm’s policies and procedures may include:</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w:t>
            </w:r>
            <w:r w:rsidRPr="001A0C97">
              <w:tab/>
              <w:t>bank procedures and policies</w:t>
            </w:r>
          </w:p>
          <w:p w:rsidR="00000000" w:rsidRPr="001A0C97" w:rsidP="001A0C97">
            <w:pPr>
              <w:pStyle w:val="List"/>
            </w:pPr>
            <w:r w:rsidRPr="001A0C97">
              <w:t>•</w:t>
            </w:r>
            <w:r w:rsidRPr="001A0C97">
              <w:tab/>
              <w:t>notifying client when further funds are required</w:t>
            </w:r>
          </w:p>
          <w:p w:rsidR="00000000" w:rsidRPr="001A0C97" w:rsidP="001A0C97">
            <w:pPr>
              <w:pStyle w:val="List"/>
            </w:pPr>
            <w:r w:rsidRPr="001A0C97">
              <w:t>•</w:t>
            </w:r>
            <w:r w:rsidRPr="001A0C97">
              <w:tab/>
              <w:t>keeping records of disbursements</w:t>
            </w:r>
          </w:p>
          <w:p w:rsidR="00000000" w:rsidRPr="001A0C97" w:rsidP="001A0C97">
            <w:pPr>
              <w:pStyle w:val="List"/>
            </w:pPr>
            <w:r w:rsidRPr="001A0C97">
              <w:t>•</w:t>
            </w:r>
            <w:r w:rsidRPr="001A0C97">
              <w:tab/>
              <w:t>following up discrepanc</w:t>
            </w:r>
            <w:r w:rsidRPr="001A0C97">
              <w:t>ies and irregularities</w:t>
            </w:r>
          </w:p>
          <w:p w:rsidR="00000000" w:rsidRPr="001A0C97" w:rsidP="001A0C97">
            <w:pPr>
              <w:pStyle w:val="List"/>
            </w:pPr>
            <w:r w:rsidRPr="001A0C97">
              <w:t>•</w:t>
            </w:r>
            <w:r w:rsidRPr="001A0C97">
              <w:tab/>
              <w:t>information sources</w:t>
            </w:r>
          </w:p>
          <w:p w:rsidR="00000000" w:rsidRPr="001A0C97" w:rsidP="001A0C97">
            <w:pPr>
              <w:pStyle w:val="List"/>
            </w:pPr>
            <w:r w:rsidRPr="001A0C97">
              <w:t>•</w:t>
            </w:r>
            <w:r w:rsidRPr="001A0C97">
              <w:tab/>
              <w:t>accessing accounting system</w:t>
            </w:r>
          </w:p>
          <w:p w:rsidR="00000000" w:rsidRPr="001A0C97" w:rsidP="001A0C97">
            <w:pPr>
              <w:pStyle w:val="List"/>
            </w:pPr>
            <w:r w:rsidRPr="001A0C97">
              <w:t>•</w:t>
            </w:r>
            <w:r w:rsidRPr="001A0C97">
              <w:tab/>
              <w:t>security/confidentiality/privacy procedures</w:t>
            </w:r>
          </w:p>
          <w:p w:rsidR="00000000" w:rsidRPr="001A0C97" w:rsidP="001A0C97">
            <w:pPr>
              <w:pStyle w:val="List"/>
            </w:pPr>
            <w:r w:rsidRPr="001A0C97">
              <w:t>•</w:t>
            </w:r>
            <w:r w:rsidRPr="001A0C97">
              <w:tab/>
              <w:t>verifying and authorising information</w:t>
            </w:r>
          </w:p>
          <w:p w:rsidR="00000000" w:rsidRPr="001A0C97" w:rsidP="001A0C97">
            <w:pPr>
              <w:pStyle w:val="List"/>
            </w:pPr>
            <w:r w:rsidRPr="001A0C97">
              <w:t>•</w:t>
            </w:r>
            <w:r w:rsidRPr="001A0C97">
              <w:tab/>
              <w:t>recording information</w:t>
            </w:r>
          </w:p>
          <w:p w:rsidR="00000000" w:rsidRPr="001A0C97" w:rsidP="001A0C97">
            <w:pPr>
              <w:pStyle w:val="List"/>
            </w:pPr>
            <w:r w:rsidRPr="001A0C97">
              <w:t>•</w:t>
            </w:r>
            <w:r w:rsidRPr="001A0C97">
              <w:tab/>
              <w:t>handling monies</w:t>
            </w:r>
          </w:p>
          <w:p w:rsidR="00000000" w:rsidRPr="001A0C97" w:rsidP="001A0C97">
            <w:pPr>
              <w:pStyle w:val="List"/>
            </w:pPr>
            <w:r w:rsidRPr="001A0C97">
              <w:t>•</w:t>
            </w:r>
            <w:r w:rsidRPr="001A0C97">
              <w:tab/>
              <w:t>liaising with financial institutions</w:t>
            </w:r>
          </w:p>
          <w:p w:rsidR="00000000" w:rsidRPr="001A0C97" w:rsidP="001A0C97">
            <w:pPr>
              <w:pStyle w:val="List"/>
            </w:pPr>
            <w:r w:rsidRPr="001A0C97">
              <w:t>•</w:t>
            </w:r>
            <w:r w:rsidRPr="001A0C97">
              <w:tab/>
            </w:r>
            <w:r w:rsidRPr="001A0C97">
              <w:t>legal bookkeeping</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The area of law may include*:</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w:t>
            </w:r>
            <w:r w:rsidRPr="001A0C97">
              <w:tab/>
              <w:t>commercial law</w:t>
            </w:r>
          </w:p>
          <w:p w:rsidR="00000000" w:rsidRPr="001A0C97" w:rsidP="001A0C97">
            <w:pPr>
              <w:pStyle w:val="List"/>
            </w:pPr>
            <w:r w:rsidRPr="001A0C97">
              <w:t>•</w:t>
            </w:r>
            <w:r w:rsidRPr="001A0C97">
              <w:tab/>
              <w:t>corporate law</w:t>
            </w:r>
          </w:p>
          <w:p w:rsidR="00000000" w:rsidRPr="001A0C97" w:rsidP="001A0C97">
            <w:pPr>
              <w:pStyle w:val="List"/>
            </w:pPr>
            <w:r w:rsidRPr="001A0C97">
              <w:t>•</w:t>
            </w:r>
            <w:r w:rsidRPr="001A0C97">
              <w:tab/>
              <w:t>criminal law</w:t>
            </w:r>
          </w:p>
          <w:p w:rsidR="00000000" w:rsidRPr="001A0C97" w:rsidP="001A0C97">
            <w:pPr>
              <w:pStyle w:val="List"/>
            </w:pPr>
            <w:r w:rsidRPr="001A0C97">
              <w:t>•</w:t>
            </w:r>
            <w:r w:rsidRPr="001A0C97">
              <w:tab/>
              <w:t>family law</w:t>
            </w:r>
          </w:p>
          <w:p w:rsidR="00000000" w:rsidRPr="001A0C97" w:rsidP="001A0C97">
            <w:pPr>
              <w:pStyle w:val="List"/>
            </w:pPr>
            <w:r w:rsidRPr="001A0C97">
              <w:t>•</w:t>
            </w:r>
            <w:r w:rsidRPr="001A0C97">
              <w:tab/>
              <w:t>industrial relations/employment law</w:t>
            </w:r>
          </w:p>
          <w:p w:rsidR="00000000" w:rsidRPr="001A0C97" w:rsidP="001A0C97">
            <w:pPr>
              <w:pStyle w:val="List"/>
            </w:pPr>
            <w:r w:rsidRPr="001A0C97">
              <w:t>•</w:t>
            </w:r>
            <w:r w:rsidRPr="001A0C97">
              <w:tab/>
              <w:t>property law</w:t>
            </w:r>
          </w:p>
          <w:p w:rsidR="00000000" w:rsidRPr="001A0C97" w:rsidP="001A0C97">
            <w:pPr>
              <w:pStyle w:val="List"/>
            </w:pPr>
            <w:r w:rsidRPr="001A0C97">
              <w:t>•</w:t>
            </w:r>
            <w:r w:rsidRPr="001A0C97">
              <w:tab/>
              <w:t>tax law</w:t>
            </w:r>
          </w:p>
          <w:p w:rsidR="00000000" w:rsidRPr="001A0C97" w:rsidP="001A0C97">
            <w:pPr>
              <w:pStyle w:val="List"/>
            </w:pPr>
            <w:r w:rsidRPr="001A0C97">
              <w:t>•</w:t>
            </w:r>
            <w:r w:rsidRPr="001A0C97">
              <w:tab/>
              <w:t>litigation</w:t>
            </w:r>
          </w:p>
          <w:p w:rsidR="00000000" w:rsidRPr="001A0C97" w:rsidP="001A0C97">
            <w:pPr>
              <w:pStyle w:val="List"/>
            </w:pPr>
            <w:r w:rsidRPr="001A0C97">
              <w:t>•</w:t>
            </w:r>
            <w:r w:rsidRPr="001A0C97">
              <w:tab/>
              <w:t>wills and probate</w:t>
            </w:r>
          </w:p>
          <w:p w:rsidR="00000000" w:rsidRPr="001A0C97" w:rsidP="001A0C97">
            <w:pPr>
              <w:pStyle w:val="List"/>
            </w:pPr>
            <w:r w:rsidRPr="001A0C97">
              <w:t>*    These are nine common areas of law. The are</w:t>
            </w:r>
            <w:r w:rsidRPr="001A0C97">
              <w:t>a of law is not restricted to this list; other areas of law may be applicable.</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Legislative requirements may relate to:</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w:t>
            </w:r>
            <w:r w:rsidRPr="001A0C97">
              <w:tab/>
              <w:t>relevant State/Territory/Commonwealth legislation</w:t>
            </w:r>
          </w:p>
          <w:p w:rsidR="00000000" w:rsidRPr="001A0C97" w:rsidP="001A0C97">
            <w:pPr>
              <w:pStyle w:val="List"/>
            </w:pPr>
            <w:r w:rsidRPr="001A0C97">
              <w:t>•</w:t>
            </w:r>
            <w:r w:rsidRPr="001A0C97">
              <w:tab/>
              <w:t>Governing legal practice Acts in each State/Territory</w:t>
            </w:r>
          </w:p>
          <w:p w:rsidR="00000000" w:rsidRPr="001A0C97" w:rsidP="001A0C97">
            <w:pPr>
              <w:pStyle w:val="List"/>
            </w:pPr>
            <w:r w:rsidRPr="001A0C97">
              <w:t>•</w:t>
            </w:r>
            <w:r w:rsidRPr="001A0C97">
              <w:tab/>
            </w:r>
            <w:r w:rsidRPr="001A0C97">
              <w:t>the client and a firm (eg. Consumer Credit Code, Privacy Act, secrecy laws, Codes of Practice, common law and Statutory Duties of Care involving financial relationships)</w:t>
            </w:r>
          </w:p>
          <w:p w:rsidR="00000000" w:rsidRPr="001A0C97" w:rsidP="001A0C97">
            <w:pPr>
              <w:pStyle w:val="List"/>
            </w:pPr>
            <w:r w:rsidRPr="001A0C97">
              <w:t>•</w:t>
            </w:r>
            <w:r w:rsidRPr="001A0C97">
              <w:tab/>
              <w:t>the area of law</w:t>
            </w:r>
          </w:p>
          <w:p w:rsidR="00000000" w:rsidRPr="001A0C97" w:rsidP="001A0C97">
            <w:pPr>
              <w:pStyle w:val="List"/>
            </w:pPr>
            <w:r w:rsidRPr="001A0C97">
              <w:t>•</w:t>
            </w:r>
            <w:r w:rsidRPr="001A0C97">
              <w:tab/>
              <w:t>schedules of fees and duties payable</w:t>
            </w:r>
          </w:p>
          <w:p w:rsidR="00000000" w:rsidRPr="001A0C97" w:rsidP="001A0C97">
            <w:pPr>
              <w:pStyle w:val="List"/>
            </w:pPr>
            <w:r w:rsidRPr="001A0C97">
              <w:t>•</w:t>
            </w:r>
            <w:r w:rsidRPr="001A0C97">
              <w:tab/>
              <w:t>establishing a trust accoun</w:t>
            </w:r>
            <w:r w:rsidRPr="001A0C97">
              <w:t>t</w:t>
            </w:r>
          </w:p>
          <w:p w:rsidR="00000000" w:rsidRPr="001A0C97" w:rsidP="001A0C97">
            <w:pPr>
              <w:pStyle w:val="List"/>
            </w:pPr>
            <w:r w:rsidRPr="001A0C97">
              <w:t>•</w:t>
            </w:r>
            <w:r w:rsidRPr="001A0C97">
              <w:tab/>
              <w:t>taxation and banking requirements</w:t>
            </w:r>
          </w:p>
          <w:p w:rsidR="00000000" w:rsidRPr="001A0C97" w:rsidP="001A0C97">
            <w:pPr>
              <w:pStyle w:val="List"/>
            </w:pPr>
            <w:r w:rsidRPr="001A0C97">
              <w:t>•</w:t>
            </w:r>
            <w:r w:rsidRPr="001A0C97">
              <w:tab/>
              <w:t>tort, equity and statute law</w:t>
            </w:r>
          </w:p>
          <w:p w:rsidR="00000000" w:rsidRPr="001A0C97" w:rsidP="001A0C97">
            <w:pPr>
              <w:pStyle w:val="List"/>
            </w:pPr>
            <w:r w:rsidRPr="001A0C97">
              <w:t>•</w:t>
            </w:r>
            <w:r w:rsidRPr="001A0C97">
              <w:tab/>
              <w:t>Australian Taxation Office regulations</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Relevant State/Territory/Commonwealth legislation may include:</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w:t>
            </w:r>
            <w:r w:rsidRPr="001A0C97">
              <w:tab/>
              <w:t>Trade Practices Act</w:t>
            </w:r>
          </w:p>
          <w:p w:rsidR="00000000" w:rsidRPr="001A0C97" w:rsidP="001A0C97">
            <w:pPr>
              <w:pStyle w:val="List"/>
            </w:pPr>
            <w:r w:rsidRPr="001A0C97">
              <w:t>•</w:t>
            </w:r>
            <w:r w:rsidRPr="001A0C97">
              <w:tab/>
              <w:t>Small Debts Act</w:t>
            </w:r>
          </w:p>
          <w:p w:rsidR="00000000" w:rsidRPr="001A0C97" w:rsidP="001A0C97">
            <w:pPr>
              <w:pStyle w:val="List"/>
            </w:pPr>
            <w:r w:rsidRPr="001A0C97">
              <w:t>•</w:t>
            </w:r>
            <w:r w:rsidRPr="001A0C97">
              <w:tab/>
              <w:t>Bills of Exchange Act</w:t>
            </w:r>
          </w:p>
          <w:p w:rsidR="00000000" w:rsidRPr="001A0C97" w:rsidP="001A0C97">
            <w:pPr>
              <w:pStyle w:val="List"/>
            </w:pPr>
            <w:r w:rsidRPr="001A0C97">
              <w:t>•</w:t>
            </w:r>
            <w:r w:rsidRPr="001A0C97">
              <w:tab/>
              <w:t>Financial Tran</w:t>
            </w:r>
            <w:r w:rsidRPr="001A0C97">
              <w:t>sactions Report Act</w:t>
            </w:r>
          </w:p>
          <w:p w:rsidR="00000000" w:rsidRPr="001A0C97" w:rsidP="001A0C97">
            <w:pPr>
              <w:pStyle w:val="List"/>
            </w:pPr>
            <w:r w:rsidRPr="001A0C97">
              <w:t>•</w:t>
            </w:r>
            <w:r w:rsidRPr="001A0C97">
              <w:tab/>
              <w:t>various state’s conduct acts, eg. Legal Practice Act</w:t>
            </w:r>
          </w:p>
          <w:p w:rsidR="00000000" w:rsidRPr="001A0C97" w:rsidP="001A0C97">
            <w:pPr>
              <w:pStyle w:val="List"/>
            </w:pPr>
          </w:p>
        </w:tc>
      </w:tr>
    </w:tbl>
    <w:p w:rsidR="00000000" w:rsidRPr="001A0C97" w:rsidP="001A0C97">
      <w:pPr>
        <w:pStyle w:val="BodyText"/>
      </w:pPr>
    </w:p>
    <w:p w:rsidR="00000000" w:rsidRPr="001A0C97" w:rsidP="001A0C97">
      <w:pPr>
        <w:pStyle w:val="AllowPageBreak"/>
      </w:pPr>
    </w:p>
    <w:p w:rsidR="00000000" w:rsidRPr="001A0C97" w:rsidP="001A0C97">
      <w:pPr>
        <w:pStyle w:val="Heading1"/>
      </w:pPr>
      <w:bookmarkStart w:id="4" w:name="O_384484"/>
      <w:bookmarkEnd w:id="4"/>
      <w:r w:rsidRPr="001A0C97">
        <w:t>EVIDENCE GUIDE</w:t>
      </w:r>
    </w:p>
    <w:tbl>
      <w:tblPr>
        <w:tblW w:w="0" w:type="auto"/>
        <w:tblCellMar>
          <w:left w:w="62" w:type="dxa"/>
          <w:right w:w="62" w:type="dxa"/>
        </w:tblCellMar>
        <w:tblLook w:val="0000"/>
      </w:tblPr>
      <w:tblGrid>
        <w:gridCol w:w="3529"/>
        <w:gridCol w:w="5667"/>
      </w:tblGrid>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Critical aspects:</w:t>
            </w:r>
          </w:p>
          <w:p w:rsidR="00000000" w:rsidP="001A0C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List"/>
            </w:pPr>
            <w:r w:rsidRPr="001A0C97">
              <w:t>•   understanding of scope of own responsibility is demonstrated</w:t>
            </w:r>
          </w:p>
          <w:p w:rsidR="00000000" w:rsidRPr="001A0C97" w:rsidP="001A0C97">
            <w:pPr>
              <w:pStyle w:val="List"/>
            </w:pPr>
            <w:r w:rsidRPr="001A0C97">
              <w:t xml:space="preserve">•   an understanding of trust accounting </w:t>
            </w:r>
            <w:r w:rsidRPr="001A0C97">
              <w:t>principles and practices within the limits of the employee’s responsibilities is demonstrated</w:t>
            </w:r>
          </w:p>
          <w:p w:rsidR="00000000" w:rsidRPr="001A0C97" w:rsidP="001A0C97">
            <w:pPr>
              <w:pStyle w:val="List"/>
            </w:pPr>
            <w:r w:rsidRPr="001A0C97">
              <w:t>•   an understanding of a firm’s trust and general accounting procedures is demonstrated</w:t>
            </w:r>
          </w:p>
          <w:p w:rsidR="00000000" w:rsidRPr="001A0C97" w:rsidP="001A0C97">
            <w:pPr>
              <w:pStyle w:val="List"/>
            </w:pPr>
            <w:r w:rsidRPr="001A0C97">
              <w:t>•   correct usage of different types of documents is demonstrated</w:t>
            </w:r>
          </w:p>
          <w:p w:rsidR="00000000" w:rsidRPr="001A0C97" w:rsidP="001A0C97">
            <w:pPr>
              <w:pStyle w:val="List"/>
            </w:pPr>
            <w:r w:rsidRPr="001A0C97">
              <w:t>•   doc</w:t>
            </w:r>
            <w:r w:rsidRPr="001A0C97">
              <w:t>umentation is filled out correctly and presented to instructing legal practitioner within</w:t>
            </w:r>
          </w:p>
          <w:p w:rsidR="00000000" w:rsidRPr="001A0C97" w:rsidP="001A0C97">
            <w:pPr>
              <w:pStyle w:val="List"/>
            </w:pPr>
            <w:r w:rsidRPr="001A0C97">
              <w:t>agreed timelines</w:t>
            </w:r>
          </w:p>
          <w:p w:rsidR="00000000" w:rsidRPr="001A0C97" w:rsidP="001A0C97">
            <w:pPr>
              <w:pStyle w:val="List"/>
            </w:pPr>
            <w:r w:rsidRPr="001A0C97">
              <w:t>•   records of disbursements are accurate and up-to-date, according to a firm’s policies and procedures</w:t>
            </w:r>
          </w:p>
          <w:p w:rsidR="00000000" w:rsidRPr="001A0C97" w:rsidP="001A0C97">
            <w:pPr>
              <w:pStyle w:val="ListBullet"/>
            </w:pPr>
            <w:r w:rsidRPr="001A0C97">
              <w:t>•   evidence of knowledge of the type of dis</w:t>
            </w:r>
            <w:r w:rsidRPr="001A0C97">
              <w:t>crepancies and irregularities which could arise and standard resolutions</w:t>
            </w:r>
          </w:p>
          <w:p w:rsidR="00000000" w:rsidRPr="001A0C97" w:rsidP="001A0C97">
            <w:pPr>
              <w:pStyle w:val="List"/>
            </w:pPr>
            <w:r w:rsidRPr="001A0C97">
              <w:t xml:space="preserve">•   discrepancies and irregularities are resolved within scope of own responsibility and those outside of own responsibility </w:t>
            </w:r>
            <w:r w:rsidRPr="001A0C97">
              <w:t>are referred immediately to instructing legal practitioner, eg. files with inadequate funds</w:t>
            </w:r>
          </w:p>
          <w:p w:rsidR="00000000" w:rsidRPr="001A0C97" w:rsidP="001A0C97">
            <w:pPr>
              <w:pStyle w:val="List"/>
            </w:pPr>
            <w:r w:rsidRPr="001A0C97">
              <w:t>•   calculations and reconciliations are checked for accuracy</w:t>
            </w:r>
          </w:p>
          <w:p w:rsidR="00000000" w:rsidRPr="001A0C97" w:rsidP="001A0C97">
            <w:pPr>
              <w:pStyle w:val="ListBullet"/>
            </w:pPr>
            <w:r w:rsidRPr="001A0C97">
              <w:t>numerical information is checked</w:t>
            </w:r>
          </w:p>
          <w:p w:rsidR="00000000" w:rsidRPr="001A0C97" w:rsidP="001A0C97">
            <w:pPr>
              <w:pStyle w:val="List"/>
            </w:pPr>
            <w:r w:rsidRPr="001A0C97">
              <w:t>•   contact with client regarding inadequacy of funds is handled sen</w:t>
            </w:r>
            <w:r w:rsidRPr="001A0C97">
              <w:t>sitively and according to a firm’s policies and procedures</w:t>
            </w:r>
          </w:p>
          <w:p w:rsidR="00000000" w:rsidRPr="001A0C97" w:rsidP="001A0C97">
            <w:pPr>
              <w:pStyle w:val="List"/>
            </w:pPr>
            <w:r w:rsidRPr="001A0C97">
              <w:t>•   legal actions, legislative requirements and invoicing procedures are explained to client in simple language, where appropriate</w:t>
            </w:r>
          </w:p>
          <w:p w:rsidR="00000000" w:rsidRPr="001A0C97" w:rsidP="001A0C97">
            <w:pPr>
              <w:pStyle w:val="List"/>
            </w:pPr>
            <w:r w:rsidRPr="001A0C97">
              <w:t>•   check for written authorisation from client and instructing le</w:t>
            </w:r>
            <w:r w:rsidRPr="001A0C97">
              <w:t>gal practitioner is obtained when moving trust account money into interest bearing account</w:t>
            </w:r>
          </w:p>
          <w:p w:rsidR="00000000" w:rsidRPr="001A0C97" w:rsidP="001A0C97">
            <w:pPr>
              <w:pStyle w:val="List"/>
            </w:pPr>
            <w:r w:rsidRPr="001A0C97">
              <w:t>•   documentation prepared at the completion of a legal matter is complete and accurate</w:t>
            </w:r>
          </w:p>
          <w:p w:rsidR="00000000" w:rsidRPr="001A0C97" w:rsidP="001A0C97">
            <w:pPr>
              <w:pStyle w:val="List"/>
            </w:pPr>
            <w:r w:rsidRPr="001A0C97">
              <w:t>•   file/matter number is attached to all relevant documentation and such doc</w:t>
            </w:r>
            <w:r w:rsidRPr="001A0C97">
              <w:t>umentation is filed appropriately</w:t>
            </w:r>
          </w:p>
          <w:p w:rsidR="00000000" w:rsidRPr="001A0C97" w:rsidP="001A0C97">
            <w:pPr>
              <w:pStyle w:val="List"/>
            </w:pPr>
            <w:r w:rsidRPr="001A0C97">
              <w:t>•   a firm’s trust accounting procedures, legislative and regulatory requirements are complied with</w:t>
            </w:r>
          </w:p>
          <w:p w:rsidR="00000000" w:rsidRPr="001A0C97" w:rsidP="001A0C97">
            <w:pPr>
              <w:pStyle w:val="List"/>
            </w:pPr>
            <w:r w:rsidRPr="001A0C97">
              <w:t>•   non-disclosable information is not communicated and where any doubt exists as to the information’s status it is not di</w:t>
            </w:r>
            <w:r w:rsidRPr="001A0C97">
              <w:t>sclosed</w:t>
            </w:r>
          </w:p>
          <w:p w:rsidR="00000000" w:rsidRPr="001A0C97" w:rsidP="001A0C97">
            <w:pPr>
              <w:pStyle w:val="List"/>
            </w:pPr>
            <w:r w:rsidRPr="001A0C97">
              <w:t>•   activities, actions and outcomes are documented and time is recorded</w:t>
            </w:r>
          </w:p>
          <w:p w:rsidR="00000000" w:rsidRPr="001A0C97" w:rsidP="001A0C97">
            <w:pPr>
              <w:pStyle w:val="List"/>
            </w:pPr>
            <w:r w:rsidRPr="001A0C97">
              <w:t>•   honesty and integrity are demonstrated in all financial dealings</w:t>
            </w:r>
          </w:p>
          <w:p w:rsidR="00000000" w:rsidRPr="001A0C97" w:rsidP="001A0C97">
            <w:pPr>
              <w:pStyle w:val="List"/>
            </w:pPr>
            <w:r w:rsidRPr="001A0C97">
              <w:t>•   all work is conducted within accepted codes of conduct including those relating to: maintaining confid</w:t>
            </w:r>
            <w:r w:rsidRPr="001A0C97">
              <w:t>entiality, use of company property, duty of care, ethical behaviours, privacy, non-discriminatory practice, conflict of interests and compliance with reasonable direction</w:t>
            </w:r>
          </w:p>
          <w:p w:rsidR="00000000" w:rsidRPr="001A0C97" w:rsidP="001A0C97">
            <w:pPr>
              <w:pStyle w:val="List"/>
            </w:pPr>
            <w:r w:rsidRPr="001A0C97">
              <w:t>•   reports in relation to trust monies are compiled and reviewed in line with firm’s</w:t>
            </w:r>
            <w:r w:rsidRPr="001A0C97">
              <w:t xml:space="preserve"> policies and procedures</w:t>
            </w:r>
          </w:p>
          <w:p w:rsidR="00000000" w:rsidP="001A0C97">
            <w:pPr>
              <w:pStyle w:val="BodyTex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The assessor must have access to appropriate documentation and resources normally found in the work environment and required to allow the job or task to be properly performed. These may include:</w:t>
            </w:r>
          </w:p>
          <w:p w:rsidR="00000000" w:rsidRPr="001A0C97" w:rsidP="001A0C97">
            <w:pPr>
              <w:pStyle w:val="List"/>
            </w:pPr>
            <w:r w:rsidRPr="001A0C97">
              <w:t>•</w:t>
            </w:r>
            <w:r w:rsidRPr="001A0C97">
              <w:tab/>
            </w:r>
            <w:r w:rsidRPr="001A0C97">
              <w:t>appropriate legislation and regulations relevant to assisting clients, maintaining business accounts, maintaining trust accounts and transferring trust monies</w:t>
            </w:r>
          </w:p>
          <w:p w:rsidR="00000000" w:rsidRPr="001A0C97" w:rsidP="001A0C97">
            <w:pPr>
              <w:pStyle w:val="List"/>
            </w:pPr>
            <w:r w:rsidRPr="001A0C97">
              <w:t>•</w:t>
            </w:r>
            <w:r w:rsidRPr="001A0C97">
              <w:tab/>
              <w:t>workplace manuals and reference materials such as company policy, procedural manuals and checkl</w:t>
            </w:r>
            <w:r w:rsidRPr="001A0C97">
              <w:t>ists</w:t>
            </w:r>
          </w:p>
          <w:p w:rsidR="00000000" w:rsidRPr="001A0C97" w:rsidP="001A0C97">
            <w:pPr>
              <w:pStyle w:val="List"/>
            </w:pPr>
            <w:r w:rsidRPr="001A0C97">
              <w:t>•</w:t>
            </w:r>
            <w:r w:rsidRPr="001A0C97">
              <w:tab/>
              <w:t>appropriate technology such as computers with relevant software calculators, adding machines and imprinters</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0C97">
            <w:pPr>
              <w:pStyle w:val="BodyText"/>
              <w:rPr>
                <w:lang w:val="en-NZ"/>
              </w:rPr>
            </w:pPr>
            <w:r w:rsidRPr="001A0C97">
              <w:t>This unit of competency will require evidence to be collected across a range of events, eg. dealing with trust</w:t>
            </w:r>
            <w:r w:rsidRPr="001A0C97">
              <w:t xml:space="preserve"> account requirements, and over a period of time to ensure that situational variables are consistently achieved.</w:t>
            </w: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Evidence of competency can be met in different situations, including:</w:t>
            </w:r>
          </w:p>
          <w:p w:rsidR="00000000" w:rsidRPr="001A0C97" w:rsidP="001A0C97">
            <w:pPr>
              <w:pStyle w:val="List"/>
            </w:pPr>
            <w:r w:rsidRPr="001A0C97">
              <w:t>•</w:t>
            </w:r>
            <w:r w:rsidRPr="001A0C97">
              <w:tab/>
              <w:t>on the job assessment</w:t>
            </w:r>
          </w:p>
          <w:p w:rsidR="00000000" w:rsidRPr="001A0C97" w:rsidP="001A0C97">
            <w:pPr>
              <w:pStyle w:val="List"/>
            </w:pPr>
            <w:r w:rsidRPr="001A0C97">
              <w:t>•</w:t>
            </w:r>
            <w:r w:rsidRPr="001A0C97">
              <w:tab/>
              <w:t>off the job assessment</w:t>
            </w:r>
          </w:p>
          <w:p w:rsidR="00000000" w:rsidRPr="001A0C97" w:rsidP="001A0C97">
            <w:pPr>
              <w:pStyle w:val="List"/>
            </w:pPr>
            <w:r w:rsidRPr="001A0C97">
              <w:t>•</w:t>
            </w:r>
            <w:r w:rsidRPr="001A0C97">
              <w:tab/>
              <w:t>placement in an enterprise</w:t>
            </w:r>
          </w:p>
          <w:p w:rsidR="00000000" w:rsidRPr="001A0C97" w:rsidP="001A0C97">
            <w:pPr>
              <w:pStyle w:val="List"/>
            </w:pPr>
            <w:r w:rsidRPr="001A0C97">
              <w:t>•</w:t>
            </w:r>
            <w:r w:rsidRPr="001A0C97">
              <w:tab/>
              <w:t>participation in a New Apprenticeship (traineeship) arrangement</w:t>
            </w:r>
          </w:p>
          <w:p w:rsidR="00000000" w:rsidRPr="001A0C97" w:rsidP="001A0C97">
            <w:pPr>
              <w:pStyle w:val="List"/>
            </w:pPr>
            <w:r w:rsidRPr="001A0C97">
              <w:t>•</w:t>
            </w:r>
            <w:r w:rsidRPr="001A0C97">
              <w:tab/>
              <w:t>use of a Practice Firm or simulated work environment</w:t>
            </w:r>
          </w:p>
          <w:p w:rsidR="00000000" w:rsidRPr="001A0C97" w:rsidP="001A0C97">
            <w:pPr>
              <w:pStyle w:val="List"/>
            </w:pPr>
            <w:r w:rsidRPr="001A0C97">
              <w:t>•</w:t>
            </w:r>
            <w:r w:rsidRPr="001A0C97">
              <w:tab/>
              <w:t>flexible delivery methods used by training providers to cater for distance education students</w:t>
            </w:r>
          </w:p>
          <w:p w:rsidR="00000000" w:rsidRPr="001A0C97" w:rsidP="001A0C97">
            <w:pPr>
              <w:pStyle w:val="List"/>
            </w:pPr>
            <w:r w:rsidRPr="001A0C97">
              <w:t>•</w:t>
            </w:r>
            <w:r w:rsidRPr="001A0C97">
              <w:tab/>
            </w:r>
            <w:r w:rsidRPr="001A0C97">
              <w:t>Recognition of Prior Learning, Recognition of Current Competencies (in skill areas where there has been no significant change to work practice in recent times).</w:t>
            </w:r>
          </w:p>
          <w:p w:rsidR="00000000" w:rsidRPr="001A0C97" w:rsidP="001A0C97">
            <w:pPr>
              <w:pStyle w:val="BodyText"/>
            </w:pPr>
            <w:r w:rsidRPr="001A0C97">
              <w:t>Evidence gathering methods may include:</w:t>
            </w:r>
          </w:p>
          <w:p w:rsidR="00000000" w:rsidRPr="001A0C97" w:rsidP="001A0C97">
            <w:pPr>
              <w:pStyle w:val="List"/>
            </w:pPr>
            <w:r w:rsidRPr="001A0C97">
              <w:t>•</w:t>
            </w:r>
            <w:r w:rsidRPr="001A0C97">
              <w:tab/>
              <w:t>demonstration</w:t>
            </w:r>
          </w:p>
          <w:p w:rsidR="00000000" w:rsidRPr="001A0C97" w:rsidP="001A0C97">
            <w:pPr>
              <w:pStyle w:val="List"/>
            </w:pPr>
            <w:r w:rsidRPr="001A0C97">
              <w:t>•</w:t>
            </w:r>
            <w:r w:rsidRPr="001A0C97">
              <w:tab/>
              <w:t>questioning</w:t>
            </w:r>
          </w:p>
          <w:p w:rsidR="00000000" w:rsidRPr="001A0C97" w:rsidP="001A0C97">
            <w:pPr>
              <w:pStyle w:val="List"/>
            </w:pPr>
            <w:r w:rsidRPr="001A0C97">
              <w:t>•</w:t>
            </w:r>
            <w:r w:rsidRPr="001A0C97">
              <w:tab/>
              <w:t>workplace performance</w:t>
            </w:r>
          </w:p>
          <w:p w:rsidR="00000000" w:rsidRPr="001A0C97" w:rsidP="001A0C97">
            <w:pPr>
              <w:pStyle w:val="List"/>
            </w:pPr>
            <w:r w:rsidRPr="001A0C97">
              <w:t>•</w:t>
            </w:r>
            <w:r w:rsidRPr="001A0C97">
              <w:t xml:space="preserve"> </w:t>
            </w:r>
            <w:r w:rsidRPr="001A0C97">
              <w:tab/>
              <w:t>role-play</w:t>
            </w:r>
          </w:p>
          <w:p w:rsidR="00000000" w:rsidRPr="001A0C97" w:rsidP="001A0C97">
            <w:pPr>
              <w:pStyle w:val="List"/>
            </w:pPr>
            <w:r w:rsidRPr="001A0C97">
              <w:t>•</w:t>
            </w:r>
            <w:r w:rsidRPr="001A0C97">
              <w:tab/>
              <w:t>simulation</w:t>
            </w:r>
          </w:p>
          <w:p w:rsidR="00000000" w:rsidRPr="001A0C97" w:rsidP="001A0C97">
            <w:pPr>
              <w:pStyle w:val="List"/>
            </w:pPr>
            <w:r w:rsidRPr="001A0C97">
              <w:t>•</w:t>
            </w:r>
            <w:r w:rsidRPr="001A0C97">
              <w:tab/>
              <w:t>projects/assignments</w:t>
            </w:r>
          </w:p>
          <w:p w:rsidR="00000000" w:rsidRPr="001A0C97" w:rsidP="001A0C97">
            <w:pPr>
              <w:pStyle w:val="List"/>
            </w:pPr>
            <w:r w:rsidRPr="001A0C97">
              <w:t>•</w:t>
            </w:r>
            <w:r w:rsidRPr="001A0C97">
              <w:tab/>
              <w:t>written tests</w:t>
            </w:r>
          </w:p>
          <w:p w:rsidR="00000000" w:rsidRPr="001A0C97" w:rsidP="001A0C97">
            <w:pPr>
              <w:pStyle w:val="List"/>
            </w:pPr>
            <w:r w:rsidRPr="001A0C97">
              <w:t>•</w:t>
            </w:r>
            <w:r w:rsidRPr="001A0C97">
              <w:tab/>
              <w:t>skills portfolio</w:t>
            </w:r>
          </w:p>
          <w:p w:rsidR="00000000" w:rsidRPr="001A0C97" w:rsidP="001A0C97">
            <w:pPr>
              <w:pStyle w:val="List"/>
            </w:pPr>
            <w:r w:rsidRPr="001A0C97">
              <w:t>•</w:t>
            </w:r>
            <w:r w:rsidRPr="001A0C97">
              <w:tab/>
              <w:t>third party reports</w:t>
            </w:r>
          </w:p>
          <w:p w:rsidR="00000000" w:rsidP="001A0C97">
            <w:pPr>
              <w:pStyle w:val="List"/>
              <w:rPr>
                <w:lang w:val="en-NZ"/>
              </w:rPr>
            </w:pPr>
          </w:p>
        </w:tc>
      </w:tr>
      <w:tr w:rsidTr="00B302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Underpinning knowledge and skills</w:t>
            </w:r>
          </w:p>
          <w:p w:rsidR="00000000" w:rsidRPr="001A0C97" w:rsidP="001A0C97">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A0C97" w:rsidP="001A0C97">
            <w:pPr>
              <w:pStyle w:val="BodyText"/>
            </w:pPr>
            <w:r w:rsidRPr="001A0C97">
              <w:t>Knowledge</w:t>
            </w:r>
          </w:p>
          <w:p w:rsidR="00000000" w:rsidRPr="001A0C97" w:rsidP="001A0C97">
            <w:pPr>
              <w:pStyle w:val="List"/>
            </w:pPr>
            <w:r w:rsidRPr="001A0C97">
              <w:t>•</w:t>
            </w:r>
            <w:r w:rsidRPr="001A0C97">
              <w:tab/>
              <w:t>a firm’s general and trust accounting policies, procedures and systems</w:t>
            </w:r>
          </w:p>
          <w:p w:rsidR="00000000" w:rsidRPr="001A0C97" w:rsidP="001A0C97">
            <w:pPr>
              <w:pStyle w:val="List"/>
            </w:pPr>
            <w:r w:rsidRPr="001A0C97">
              <w:t>•</w:t>
            </w:r>
            <w:r w:rsidRPr="001A0C97">
              <w:tab/>
              <w:t>bank procedures and policies</w:t>
            </w:r>
            <w:r w:rsidRPr="001A0C97">
              <w:t>/requirements</w:t>
            </w:r>
          </w:p>
          <w:p w:rsidR="00000000" w:rsidRPr="001A0C97" w:rsidP="001A0C97">
            <w:pPr>
              <w:pStyle w:val="List"/>
            </w:pPr>
            <w:r w:rsidRPr="001A0C97">
              <w:t>•</w:t>
            </w:r>
            <w:r w:rsidRPr="001A0C97">
              <w:tab/>
              <w:t>relevant current legislation (see Range of Variables)</w:t>
            </w:r>
          </w:p>
          <w:p w:rsidR="00000000" w:rsidRPr="001A0C97" w:rsidP="001A0C97">
            <w:pPr>
              <w:pStyle w:val="List"/>
            </w:pPr>
            <w:r w:rsidRPr="001A0C97">
              <w:t>•</w:t>
            </w:r>
            <w:r w:rsidRPr="001A0C97">
              <w:tab/>
              <w:t>legal terminology in relation to trust accounting and the matter at hand</w:t>
            </w:r>
          </w:p>
          <w:p w:rsidR="00000000" w:rsidRPr="001A0C97" w:rsidP="001A0C97">
            <w:pPr>
              <w:pStyle w:val="List"/>
            </w:pPr>
            <w:r w:rsidRPr="001A0C97">
              <w:t>•</w:t>
            </w:r>
            <w:r w:rsidRPr="001A0C97">
              <w:tab/>
              <w:t>procedures for authorising cheques against the trust account</w:t>
            </w:r>
          </w:p>
          <w:p w:rsidR="00000000" w:rsidRPr="001A0C97" w:rsidP="001A0C97">
            <w:pPr>
              <w:pStyle w:val="List"/>
            </w:pPr>
            <w:r w:rsidRPr="001A0C97">
              <w:t>•</w:t>
            </w:r>
            <w:r w:rsidRPr="001A0C97">
              <w:tab/>
              <w:t>preparing cheques</w:t>
            </w:r>
          </w:p>
          <w:p w:rsidR="00000000" w:rsidRPr="001A0C97" w:rsidP="001A0C97">
            <w:pPr>
              <w:pStyle w:val="List"/>
            </w:pPr>
            <w:r w:rsidRPr="001A0C97">
              <w:t>•</w:t>
            </w:r>
            <w:r w:rsidRPr="001A0C97">
              <w:tab/>
            </w:r>
            <w:r w:rsidRPr="001A0C97">
              <w:t>security/confidentiality/privacy</w:t>
            </w:r>
          </w:p>
          <w:p w:rsidR="00000000" w:rsidRPr="001A0C97" w:rsidP="001A0C97">
            <w:pPr>
              <w:pStyle w:val="List"/>
            </w:pPr>
            <w:r w:rsidRPr="001A0C97">
              <w:tab/>
              <w:t>Australian Standards Association Code of Practice and Accounting Standards</w:t>
            </w:r>
          </w:p>
          <w:p w:rsidR="00000000" w:rsidRPr="001A0C97" w:rsidP="001A0C97">
            <w:pPr>
              <w:pStyle w:val="List"/>
            </w:pPr>
            <w:r w:rsidRPr="001A0C97">
              <w:t>•</w:t>
            </w:r>
            <w:r w:rsidRPr="001A0C97">
              <w:tab/>
              <w:t>Australian Accounting and Auditing Standards</w:t>
            </w:r>
          </w:p>
          <w:p w:rsidR="00000000" w:rsidRPr="001A0C97" w:rsidP="001A0C97">
            <w:pPr>
              <w:pStyle w:val="List"/>
            </w:pPr>
            <w:r w:rsidRPr="001A0C97">
              <w:t>•</w:t>
            </w:r>
            <w:r w:rsidRPr="001A0C97">
              <w:tab/>
              <w:t>Australian Taxation Office regulations</w:t>
            </w:r>
          </w:p>
          <w:p w:rsidR="00000000" w:rsidRPr="001A0C97" w:rsidP="001A0C97">
            <w:pPr>
              <w:pStyle w:val="List"/>
            </w:pPr>
            <w:r w:rsidRPr="001A0C97">
              <w:t>•</w:t>
            </w:r>
            <w:r w:rsidRPr="001A0C97">
              <w:tab/>
              <w:t>establishing a trust account</w:t>
            </w:r>
          </w:p>
          <w:p w:rsidR="00000000" w:rsidRPr="001A0C97" w:rsidP="001A0C97">
            <w:pPr>
              <w:pStyle w:val="List"/>
            </w:pPr>
            <w:r w:rsidRPr="001A0C97">
              <w:t>•</w:t>
            </w:r>
            <w:r w:rsidRPr="001A0C97">
              <w:tab/>
              <w:t>transferring assets</w:t>
            </w:r>
          </w:p>
          <w:p w:rsidR="00000000" w:rsidRPr="001A0C97" w:rsidP="001A0C97">
            <w:pPr>
              <w:pStyle w:val="List"/>
            </w:pPr>
            <w:r w:rsidRPr="001A0C97">
              <w:t>•</w:t>
            </w:r>
            <w:r w:rsidRPr="001A0C97">
              <w:tab/>
              <w:t>stat</w:t>
            </w:r>
            <w:r w:rsidRPr="001A0C97">
              <w:t>utory charges, taxes, and other fees applicable to institutions</w:t>
            </w:r>
          </w:p>
          <w:p w:rsidR="00000000" w:rsidRPr="001A0C97" w:rsidP="001A0C97">
            <w:pPr>
              <w:pStyle w:val="BodyText"/>
            </w:pPr>
            <w:r w:rsidRPr="001A0C97">
              <w:t>Skills</w:t>
            </w:r>
          </w:p>
          <w:p w:rsidR="00000000" w:rsidRPr="001A0C97" w:rsidP="001A0C97">
            <w:pPr>
              <w:pStyle w:val="List"/>
            </w:pPr>
            <w:r w:rsidRPr="001A0C97">
              <w:t>•</w:t>
            </w:r>
            <w:r w:rsidRPr="001A0C97">
              <w:tab/>
              <w:t>literacy: follows written or verbal sequenced instructions about a complex legal matter</w:t>
            </w:r>
          </w:p>
          <w:p w:rsidR="00000000" w:rsidRPr="001A0C97" w:rsidP="001A0C97">
            <w:pPr>
              <w:pStyle w:val="List"/>
            </w:pPr>
            <w:r w:rsidRPr="001A0C97">
              <w:t>•</w:t>
            </w:r>
            <w:r w:rsidRPr="001A0C97">
              <w:tab/>
              <w:t>numeracy: knowledge of mathematical procedures in relation to trust accounting, financial cal</w:t>
            </w:r>
            <w:r w:rsidRPr="001A0C97">
              <w:t>culations and bookkeeping; interprets, compares, calculates and checks for accuracy with money in legal context</w:t>
            </w:r>
          </w:p>
          <w:p w:rsidR="00000000" w:rsidRPr="001A0C97" w:rsidP="001A0C97">
            <w:pPr>
              <w:pStyle w:val="List"/>
            </w:pPr>
            <w:r w:rsidRPr="001A0C97">
              <w:t>•</w:t>
            </w:r>
            <w:r w:rsidRPr="001A0C97">
              <w:tab/>
              <w:t>interpersonal skills in relation to co-workers and clients</w:t>
            </w:r>
          </w:p>
          <w:p w:rsidR="00000000" w:rsidRPr="001A0C97" w:rsidP="001A0C97">
            <w:pPr>
              <w:pStyle w:val="List"/>
            </w:pPr>
            <w:r w:rsidRPr="001A0C97">
              <w:t>•</w:t>
            </w:r>
            <w:r w:rsidRPr="001A0C97">
              <w:tab/>
              <w:t>use of accounting records system</w:t>
            </w:r>
          </w:p>
          <w:p w:rsidR="00000000" w:rsidRPr="001A0C97" w:rsidP="001A0C97">
            <w:pPr>
              <w:pStyle w:val="List"/>
            </w:pPr>
            <w:r w:rsidRPr="001A0C97">
              <w:t>•</w:t>
            </w:r>
            <w:r w:rsidRPr="001A0C97">
              <w:tab/>
              <w:t xml:space="preserve">communication: listens to clear instructions; </w:t>
            </w:r>
            <w:r w:rsidRPr="001A0C97">
              <w:t>questions to clarify information</w:t>
            </w:r>
          </w:p>
          <w:p w:rsidR="00000000" w:rsidRPr="001A0C97" w:rsidP="001A0C97">
            <w:pPr>
              <w:pStyle w:val="BodyText"/>
            </w:pPr>
          </w:p>
        </w:tc>
      </w:tr>
    </w:tbl>
    <w:p w:rsidR="00000000" w:rsidRPr="001A0C97" w:rsidP="001A0C97">
      <w:pPr>
        <w:pStyle w:val="BodyText"/>
      </w:pPr>
    </w:p>
    <w:p w:rsidR="00000000" w:rsidRPr="001A0C97" w:rsidP="001A0C97">
      <w:pPr>
        <w:pStyle w:val="AllowPageBreak"/>
      </w:pPr>
    </w:p>
    <w:p w:rsidR="00000000" w:rsidRPr="001A0C97" w:rsidP="001A0C97">
      <w:pPr>
        <w:pStyle w:val="Heading1"/>
      </w:pPr>
      <w:bookmarkStart w:id="5" w:name="O_384485"/>
      <w:bookmarkEnd w:id="5"/>
      <w:r w:rsidRPr="001A0C97">
        <w:t>KEY COMPENTENCIES</w:t>
      </w:r>
    </w:p>
    <w:p w:rsidR="00000000" w:rsidRPr="001A0C97" w:rsidP="001A0C97">
      <w:pPr>
        <w:pStyle w:val="Heading2"/>
      </w:pPr>
      <w:r w:rsidRPr="001A0C97">
        <w:t>Utilisation of the Key Competencies required in the performance of this unit</w:t>
      </w:r>
    </w:p>
    <w:p w:rsidR="00000000" w:rsidRPr="001A0C97" w:rsidP="001A0C97">
      <w:pPr>
        <w:pStyle w:val="Heading2"/>
      </w:pPr>
    </w:p>
    <w:tbl>
      <w:tblPr>
        <w:tblW w:w="0" w:type="auto"/>
        <w:tblCellMar>
          <w:left w:w="62" w:type="dxa"/>
          <w:right w:w="62" w:type="dxa"/>
        </w:tblCellMar>
        <w:tblLook w:val="0000"/>
      </w:tblPr>
      <w:tblGrid>
        <w:gridCol w:w="1314"/>
        <w:gridCol w:w="1314"/>
        <w:gridCol w:w="1314"/>
        <w:gridCol w:w="1314"/>
        <w:gridCol w:w="1314"/>
        <w:gridCol w:w="1314"/>
        <w:gridCol w:w="1312"/>
      </w:tblGrid>
      <w:tr w:rsidTr="00B302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Using technology</w:t>
            </w:r>
          </w:p>
        </w:tc>
      </w:tr>
      <w:tr w:rsidTr="00B302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BodyText"/>
              <w:rPr>
                <w:lang w:val="en-NZ"/>
              </w:rPr>
            </w:pPr>
            <w:r w:rsidRPr="001A0C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97" w:rsidP="001A0C97">
            <w:pPr>
              <w:pStyle w:val="BodyText"/>
            </w:pPr>
            <w:r w:rsidRPr="001A0C97">
              <w:t>2</w:t>
            </w:r>
          </w:p>
        </w:tc>
      </w:tr>
    </w:tbl>
    <w:p w:rsidR="00000000" w:rsidRPr="001A0C97" w:rsidP="001A0C97">
      <w:pPr>
        <w:pStyle w:val="Heading2"/>
      </w:pPr>
    </w:p>
    <w:p w:rsidR="00000000" w:rsidRPr="001A0C97" w:rsidP="001A0C97">
      <w:pPr>
        <w:pStyle w:val="Heading2"/>
      </w:pPr>
      <w:r w:rsidRPr="001A0C97">
        <w:t>Performance Levels:</w:t>
      </w:r>
    </w:p>
    <w:tbl>
      <w:tblPr>
        <w:tblW w:w="0" w:type="auto"/>
        <w:tblCellMar>
          <w:left w:w="62" w:type="dxa"/>
          <w:right w:w="62" w:type="dxa"/>
        </w:tblCellMar>
        <w:tblLook w:val="0000"/>
      </w:tblPr>
      <w:tblGrid>
        <w:gridCol w:w="3065"/>
        <w:gridCol w:w="3065"/>
        <w:gridCol w:w="3066"/>
      </w:tblGrid>
      <w:tr w:rsidTr="00B302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Heading2"/>
            </w:pPr>
            <w:r w:rsidRPr="001A0C97">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Heading2"/>
            </w:pPr>
            <w:r w:rsidRPr="001A0C97">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97">
            <w:pPr>
              <w:pStyle w:val="Heading2"/>
            </w:pPr>
            <w:r w:rsidRPr="001A0C97">
              <w:t>Level 3</w:t>
            </w:r>
          </w:p>
        </w:tc>
      </w:tr>
      <w:tr w:rsidTr="00B302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97" w:rsidP="001A0C97">
            <w:pPr>
              <w:pStyle w:val="List"/>
            </w:pPr>
            <w:r w:rsidRPr="001A0C97">
              <w:t>•</w:t>
            </w:r>
            <w:r w:rsidRPr="001A0C97">
              <w:tab/>
              <w:t>carries out established processes</w:t>
            </w:r>
          </w:p>
          <w:p w:rsidR="00000000" w:rsidRPr="001A0C97" w:rsidP="001A0C97">
            <w:pPr>
              <w:pStyle w:val="List"/>
            </w:pPr>
            <w:r w:rsidRPr="001A0C97">
              <w:t>•</w:t>
            </w:r>
            <w:r w:rsidRPr="001A0C97">
              <w:tab/>
            </w:r>
            <w:r w:rsidRPr="001A0C97">
              <w:t>makes judgements of quality using given criteria</w:t>
            </w:r>
          </w:p>
          <w:p w:rsidR="00000000" w:rsidRPr="001A0C97" w:rsidP="001A0C97">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97" w:rsidP="001A0C97">
            <w:pPr>
              <w:pStyle w:val="List"/>
            </w:pPr>
            <w:r w:rsidRPr="001A0C97">
              <w:t>•</w:t>
            </w:r>
            <w:r w:rsidRPr="001A0C97">
              <w:tab/>
              <w:t>manages processes</w:t>
            </w:r>
          </w:p>
          <w:p w:rsidR="00000000" w:rsidRPr="001A0C97" w:rsidP="001A0C97">
            <w:pPr>
              <w:pStyle w:val="List"/>
            </w:pPr>
            <w:r w:rsidRPr="001A0C97">
              <w:t>•</w:t>
            </w:r>
            <w:r w:rsidRPr="001A0C97">
              <w:tab/>
              <w:t>selects the criteria for the evaluation process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97" w:rsidP="001A0C97">
            <w:pPr>
              <w:pStyle w:val="List"/>
            </w:pPr>
            <w:r w:rsidRPr="001A0C97">
              <w:t>•</w:t>
            </w:r>
            <w:r w:rsidRPr="001A0C97">
              <w:tab/>
              <w:t>establishes principles and processes</w:t>
            </w:r>
          </w:p>
          <w:p w:rsidR="00000000" w:rsidRPr="001A0C97" w:rsidP="001A0C97">
            <w:pPr>
              <w:pStyle w:val="List"/>
            </w:pPr>
            <w:r w:rsidRPr="001A0C97">
              <w:t>•</w:t>
            </w:r>
            <w:r w:rsidRPr="001A0C97">
              <w:tab/>
              <w:t>evaluates and reshapes processes</w:t>
            </w:r>
          </w:p>
          <w:p w:rsidR="00000000" w:rsidRPr="001A0C97" w:rsidP="001A0C97">
            <w:pPr>
              <w:pStyle w:val="List"/>
            </w:pPr>
            <w:r w:rsidRPr="001A0C97">
              <w:t>•</w:t>
            </w:r>
            <w:r w:rsidRPr="001A0C97">
              <w:tab/>
              <w:t>establishes criteria for evaluation of processes</w:t>
            </w:r>
          </w:p>
          <w:p w:rsidR="00000000" w:rsidRPr="001A0C97" w:rsidP="001A0C97">
            <w:pPr>
              <w:pStyle w:val="List"/>
            </w:pPr>
          </w:p>
        </w:tc>
      </w:tr>
    </w:tbl>
    <w:p w:rsidR="00000000" w:rsidRPr="001A0C97" w:rsidP="001A0C97">
      <w:pPr>
        <w:pStyle w:val="BodyText"/>
      </w:pPr>
    </w:p>
    <w:p w:rsidR="00000000" w:rsidRPr="001A0C97" w:rsidP="001A0C97"/>
    <w:sectPr w:rsidSect="001A0C97">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0215" w:rsidP="00B30215">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15" w:rsidP="001A0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0215" w:rsidP="001A0C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0215" w:rsidP="001A0C97">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97" w:rsidP="001A0C97">
    <w:pPr>
      <w:pStyle w:val="Footer"/>
      <w:framePr w:wrap="around"/>
    </w:pPr>
    <w:r>
      <w:fldChar w:fldCharType="begin"/>
    </w:r>
    <w:r>
      <w:instrText xml:space="preserve"> DOCPROPERTY  Subject  \* MERGEFORMAT </w:instrText>
    </w:r>
    <w:r>
      <w:fldChar w:fldCharType="separate"/>
    </w:r>
    <w:r w:rsidR="00B30215">
      <w:t>Approved</w:t>
    </w:r>
    <w:r w:rsidR="00B30215">
      <w:fldChar w:fldCharType="end"/>
    </w:r>
    <w:r>
      <w:tab/>
      <w:t xml:space="preserve">Page </w:t>
    </w:r>
    <w:r>
      <w:fldChar w:fldCharType="begin"/>
    </w:r>
    <w:r>
      <w:instrText xml:space="preserve"> PAGE  \* Arabic  \* MERGEFORMAT </w:instrText>
    </w:r>
    <w:r>
      <w:fldChar w:fldCharType="separate"/>
    </w:r>
    <w:r w:rsidR="00B30215">
      <w:rPr>
        <w:noProof/>
      </w:rPr>
      <w:t>4</w:t>
    </w:r>
    <w:r>
      <w:fldChar w:fldCharType="end"/>
    </w:r>
    <w:r>
      <w:t xml:space="preserve"> of </w:t>
    </w:r>
    <w:r>
      <w:fldChar w:fldCharType="begin"/>
    </w:r>
    <w:r>
      <w:instrText xml:space="preserve"> NUMPAGES  \* Arabic  \* MERGEFORMAT </w:instrText>
    </w:r>
    <w:r>
      <w:fldChar w:fldCharType="separate"/>
    </w:r>
    <w:r w:rsidR="00B30215">
      <w:rPr>
        <w:noProof/>
      </w:rPr>
      <w:t>8</w:t>
    </w:r>
    <w:r w:rsidR="00B30215">
      <w:rPr>
        <w:noProof/>
      </w:rPr>
      <w:fldChar w:fldCharType="end"/>
    </w:r>
  </w:p>
  <w:p w:rsidR="001A0C97" w:rsidP="001A0C97">
    <w:pPr>
      <w:pStyle w:val="Footer"/>
      <w:framePr w:wrap="around"/>
    </w:pPr>
    <w:r>
      <w:t xml:space="preserve">© Commonwealth of Australia, </w:t>
    </w:r>
    <w:r>
      <w:fldChar w:fldCharType="begin"/>
    </w:r>
    <w:r>
      <w:instrText xml:space="preserve"> DATE  \@ "yyyy"  \* MERGEFORMAT </w:instrText>
    </w:r>
    <w:r>
      <w:fldChar w:fldCharType="separate"/>
    </w:r>
    <w:r w:rsidR="00B30215">
      <w:rPr>
        <w:noProof/>
      </w:rPr>
      <w:t>2012</w:t>
    </w:r>
    <w:r>
      <w:fldChar w:fldCharType="end"/>
    </w:r>
    <w:r>
      <w:tab/>
    </w:r>
    <w:r>
      <w:fldChar w:fldCharType="begin"/>
    </w:r>
    <w:r>
      <w:instrText xml:space="preserve"> DOCPROPERTY  Author  \* MERGEFORMAT </w:instrText>
    </w:r>
    <w:r>
      <w:fldChar w:fldCharType="separate"/>
    </w:r>
    <w:r w:rsidR="00B30215">
      <w:t>Innovation and Business Skills Australia</w:t>
    </w:r>
    <w:r w:rsidR="00B30215">
      <w:fldChar w:fldCharType="end"/>
    </w:r>
  </w:p>
  <w:p w:rsidR="001A0C97" w:rsidP="001A0C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0215" w:rsidP="00B302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15" w:rsidP="001A0C97">
    <w:pPr>
      <w:pStyle w:val="Header"/>
      <w:framePr w:wrap="around"/>
    </w:pPr>
    <w:r>
      <w:fldChar w:fldCharType="begin"/>
    </w:r>
    <w:r>
      <w:instrText xml:space="preserve"> TITLE   \* MERGEFORMAT </w:instrText>
    </w:r>
    <w:r>
      <w:fldChar w:fldCharType="separate"/>
    </w:r>
    <w:r>
      <w:t>BSALF401A Maintain trust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0215" w:rsidP="001A0C97">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97" w:rsidP="001A0C97">
    <w:pPr>
      <w:pStyle w:val="Header"/>
      <w:framePr w:wrap="around"/>
    </w:pPr>
    <w:r>
      <w:fldChar w:fldCharType="begin"/>
    </w:r>
    <w:r>
      <w:instrText xml:space="preserve"> TITLE   \* MERGEFORMAT </w:instrText>
    </w:r>
    <w:r>
      <w:fldChar w:fldCharType="separate"/>
    </w:r>
    <w:r w:rsidR="00B30215">
      <w:t>BSALF401A Maintain trust accounts</w:t>
    </w:r>
    <w:r w:rsidR="00B30215">
      <w:fldChar w:fldCharType="end"/>
    </w:r>
    <w:r>
      <w:tab/>
      <w:t xml:space="preserve">Date this document was generated: </w:t>
    </w:r>
    <w:r>
      <w:fldChar w:fldCharType="begin"/>
    </w:r>
    <w:r>
      <w:instrText xml:space="preserve"> CREATEDATE  \@ "d MMMM yyyy"  \* MERGEFORMAT </w:instrText>
    </w:r>
    <w:r>
      <w:fldChar w:fldCharType="separate"/>
    </w:r>
    <w:r w:rsidR="00B30215">
      <w:rPr>
        <w:noProof/>
      </w:rPr>
      <w:t>27 May 2012</w:t>
    </w:r>
    <w:r>
      <w:rPr>
        <w:noProof/>
      </w:rPr>
      <w:fldChar w:fldCharType="end"/>
    </w:r>
  </w:p>
  <w:p w:rsidR="001A0C97" w:rsidP="001A0C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2689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7CC9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C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0C97"/>
    <w:pPr>
      <w:spacing w:before="360" w:after="60"/>
      <w:outlineLvl w:val="0"/>
    </w:pPr>
    <w:rPr>
      <w:sz w:val="32"/>
    </w:rPr>
  </w:style>
  <w:style w:type="paragraph" w:styleId="Heading2">
    <w:name w:val="heading 2"/>
    <w:basedOn w:val="HeadingBase"/>
    <w:next w:val="BodyText"/>
    <w:link w:val="Heading2Char"/>
    <w:qFormat/>
    <w:rsid w:val="001A0C97"/>
    <w:pPr>
      <w:keepLines/>
      <w:spacing w:before="240" w:after="120"/>
      <w:outlineLvl w:val="1"/>
    </w:pPr>
    <w:rPr>
      <w:sz w:val="28"/>
      <w:szCs w:val="40"/>
    </w:rPr>
  </w:style>
  <w:style w:type="paragraph" w:styleId="Heading3">
    <w:name w:val="heading 3"/>
    <w:basedOn w:val="HeadingBase"/>
    <w:next w:val="BodyText"/>
    <w:link w:val="Heading3Char"/>
    <w:qFormat/>
    <w:rsid w:val="001A0C97"/>
    <w:pPr>
      <w:spacing w:before="180" w:after="120"/>
      <w:outlineLvl w:val="2"/>
    </w:pPr>
    <w:rPr>
      <w:spacing w:val="-10"/>
      <w:kern w:val="32"/>
    </w:rPr>
  </w:style>
  <w:style w:type="paragraph" w:styleId="Heading4">
    <w:name w:val="heading 4"/>
    <w:basedOn w:val="HeadingBase"/>
    <w:next w:val="BodyText"/>
    <w:link w:val="Heading4Char"/>
    <w:qFormat/>
    <w:rsid w:val="001A0C97"/>
    <w:pPr>
      <w:spacing w:before="160" w:after="120"/>
      <w:outlineLvl w:val="3"/>
    </w:pPr>
    <w:rPr>
      <w:sz w:val="22"/>
    </w:rPr>
  </w:style>
  <w:style w:type="paragraph" w:styleId="Heading5">
    <w:name w:val="heading 5"/>
    <w:basedOn w:val="HeadingBase"/>
    <w:next w:val="Normal"/>
    <w:link w:val="Heading5Char"/>
    <w:qFormat/>
    <w:rsid w:val="001A0C97"/>
    <w:pPr>
      <w:spacing w:before="80"/>
      <w:outlineLvl w:val="4"/>
    </w:pPr>
    <w:rPr>
      <w:color w:val="918585"/>
      <w:sz w:val="20"/>
    </w:rPr>
  </w:style>
  <w:style w:type="paragraph" w:styleId="Heading6">
    <w:name w:val="heading 6"/>
    <w:basedOn w:val="HeadingBase"/>
    <w:next w:val="Normal"/>
    <w:link w:val="Heading6Char"/>
    <w:qFormat/>
    <w:rsid w:val="001A0C97"/>
    <w:pPr>
      <w:spacing w:before="60"/>
      <w:outlineLvl w:val="5"/>
    </w:pPr>
    <w:rPr>
      <w:color w:val="918585"/>
      <w:sz w:val="20"/>
    </w:rPr>
  </w:style>
  <w:style w:type="paragraph" w:styleId="Heading7">
    <w:name w:val="heading 7"/>
    <w:basedOn w:val="Normal"/>
    <w:next w:val="Normal"/>
    <w:link w:val="Heading7Char"/>
    <w:qFormat/>
    <w:rsid w:val="001A0C97"/>
    <w:pPr>
      <w:ind w:left="720"/>
      <w:outlineLvl w:val="6"/>
    </w:pPr>
    <w:rPr>
      <w:i/>
    </w:rPr>
  </w:style>
  <w:style w:type="paragraph" w:styleId="Heading8">
    <w:name w:val="heading 8"/>
    <w:basedOn w:val="Normal"/>
    <w:next w:val="Normal"/>
    <w:link w:val="Heading8Char"/>
    <w:qFormat/>
    <w:rsid w:val="001A0C97"/>
    <w:pPr>
      <w:ind w:left="720"/>
      <w:outlineLvl w:val="7"/>
    </w:pPr>
    <w:rPr>
      <w:i/>
    </w:rPr>
  </w:style>
  <w:style w:type="paragraph" w:styleId="Heading9">
    <w:name w:val="heading 9"/>
    <w:basedOn w:val="Normal"/>
    <w:next w:val="Normal"/>
    <w:link w:val="Heading9Char"/>
    <w:qFormat/>
    <w:rsid w:val="001A0C97"/>
    <w:pPr>
      <w:ind w:left="720"/>
      <w:outlineLvl w:val="8"/>
    </w:pPr>
    <w:rPr>
      <w:i/>
    </w:rPr>
  </w:style>
  <w:style w:type="character" w:default="1" w:styleId="DefaultParagraphFont">
    <w:name w:val="Default Paragraph Font"/>
    <w:uiPriority w:val="1"/>
    <w:unhideWhenUsed/>
    <w:rsid w:val="001A0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C97"/>
  </w:style>
  <w:style w:type="character" w:customStyle="1" w:styleId="Heading1Char">
    <w:name w:val="Heading 1 Char"/>
    <w:basedOn w:val="DefaultParagraphFont"/>
    <w:link w:val="Heading1"/>
    <w:rsid w:val="001A0C9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A0C97"/>
    <w:rPr>
      <w:rFonts w:ascii="Times New Roman" w:eastAsia="Times New Roman" w:hAnsi="Times New Roman" w:cs="Times New Roman"/>
      <w:b/>
      <w:sz w:val="28"/>
      <w:szCs w:val="40"/>
      <w:lang w:eastAsia="en-US"/>
    </w:rPr>
  </w:style>
  <w:style w:type="paragraph" w:styleId="BodyText">
    <w:name w:val="Body Text"/>
    <w:basedOn w:val="Normal"/>
    <w:link w:val="BodyTextChar"/>
    <w:rsid w:val="001A0C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0C97"/>
    <w:rPr>
      <w:rFonts w:ascii="Times New Roman" w:eastAsia="Times New Roman" w:hAnsi="Times New Roman" w:cs="Times New Roman"/>
      <w:sz w:val="24"/>
      <w:lang w:val="en-US" w:eastAsia="en-US"/>
    </w:rPr>
  </w:style>
  <w:style w:type="paragraph" w:styleId="Footer">
    <w:name w:val="footer"/>
    <w:basedOn w:val="Normal"/>
    <w:link w:val="FooterChar"/>
    <w:rsid w:val="001A0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C97"/>
    <w:rPr>
      <w:rFonts w:ascii="Times New Roman" w:eastAsia="Times New Roman" w:hAnsi="Times New Roman" w:cs="Times New Roman"/>
      <w:sz w:val="16"/>
      <w:lang w:val="en-US" w:eastAsia="en-US"/>
    </w:rPr>
  </w:style>
  <w:style w:type="paragraph" w:styleId="List">
    <w:name w:val="List"/>
    <w:basedOn w:val="BodyText"/>
    <w:next w:val="BodyText"/>
    <w:rsid w:val="001A0C97"/>
    <w:pPr>
      <w:tabs>
        <w:tab w:val="left" w:pos="340"/>
      </w:tabs>
      <w:spacing w:before="60" w:after="60"/>
      <w:ind w:left="340" w:hanging="340"/>
    </w:pPr>
  </w:style>
  <w:style w:type="paragraph" w:styleId="ListBullet">
    <w:name w:val="List Bullet"/>
    <w:basedOn w:val="List"/>
    <w:rsid w:val="001A0C97"/>
    <w:pPr>
      <w:numPr>
        <w:numId w:val="12"/>
      </w:numPr>
      <w:tabs>
        <w:tab w:val="clear" w:pos="340"/>
      </w:tabs>
      <w:spacing w:before="40" w:after="40"/>
    </w:pPr>
  </w:style>
  <w:style w:type="paragraph" w:styleId="Header">
    <w:name w:val="header"/>
    <w:basedOn w:val="Normal"/>
    <w:link w:val="HeaderChar"/>
    <w:rsid w:val="001A0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C97"/>
    <w:rPr>
      <w:rFonts w:ascii="Times New Roman" w:eastAsia="Times New Roman" w:hAnsi="Times New Roman" w:cs="Times New Roman"/>
      <w:sz w:val="16"/>
      <w:szCs w:val="20"/>
      <w:lang w:val="en-GB" w:eastAsia="en-US"/>
    </w:rPr>
  </w:style>
  <w:style w:type="paragraph" w:customStyle="1" w:styleId="AllowPageBreak">
    <w:name w:val="AllowPageBreak"/>
    <w:rsid w:val="001A0C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0C97"/>
    <w:pPr>
      <w:tabs>
        <w:tab w:val="left" w:pos="680"/>
      </w:tabs>
      <w:spacing w:before="60" w:after="60"/>
      <w:ind w:left="680" w:hanging="340"/>
    </w:pPr>
  </w:style>
  <w:style w:type="character" w:customStyle="1" w:styleId="Heading3Char">
    <w:name w:val="Heading 3 Char"/>
    <w:basedOn w:val="DefaultParagraphFont"/>
    <w:link w:val="Heading3"/>
    <w:rsid w:val="001A0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C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0C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0C97"/>
    <w:rPr>
      <w:rFonts w:ascii="Courier New" w:eastAsia="Times New Roman" w:hAnsi="Courier New" w:cs="Times New Roman"/>
      <w:i/>
      <w:szCs w:val="20"/>
      <w:lang w:val="en-US" w:eastAsia="en-US"/>
    </w:rPr>
  </w:style>
  <w:style w:type="paragraph" w:customStyle="1" w:styleId="HeadingBase">
    <w:name w:val="Heading Base"/>
    <w:rsid w:val="001A0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C97"/>
    <w:pPr>
      <w:tabs>
        <w:tab w:val="right" w:leader="dot" w:pos="9072"/>
      </w:tabs>
      <w:ind w:left="567"/>
    </w:pPr>
    <w:rPr>
      <w:szCs w:val="22"/>
    </w:rPr>
  </w:style>
  <w:style w:type="paragraph" w:customStyle="1" w:styleId="TOCBase">
    <w:name w:val="TOC Base"/>
    <w:rsid w:val="001A0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C97"/>
    <w:pPr>
      <w:tabs>
        <w:tab w:val="right" w:leader="dot" w:pos="9072"/>
      </w:tabs>
      <w:spacing w:before="40" w:after="40"/>
      <w:ind w:left="284"/>
    </w:pPr>
    <w:rPr>
      <w:rFonts w:ascii="Times New Roman" w:hAnsi="Times New Roman"/>
    </w:rPr>
  </w:style>
  <w:style w:type="paragraph" w:styleId="TOC1">
    <w:name w:val="toc 1"/>
    <w:basedOn w:val="TOCBase"/>
    <w:next w:val="Normal"/>
    <w:rsid w:val="001A0C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0C97"/>
    <w:pPr>
      <w:spacing w:before="5040"/>
      <w:jc w:val="center"/>
    </w:pPr>
    <w:rPr>
      <w:sz w:val="48"/>
      <w:szCs w:val="72"/>
      <w:lang w:val="en-US"/>
    </w:rPr>
  </w:style>
  <w:style w:type="character" w:customStyle="1" w:styleId="TitleChar">
    <w:name w:val="Title Char"/>
    <w:basedOn w:val="DefaultParagraphFont"/>
    <w:link w:val="Title"/>
    <w:rsid w:val="001A0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C97"/>
    <w:pPr>
      <w:tabs>
        <w:tab w:val="left" w:pos="3600"/>
        <w:tab w:val="left" w:pos="3958"/>
      </w:tabs>
    </w:pPr>
  </w:style>
  <w:style w:type="paragraph" w:customStyle="1" w:styleId="Note">
    <w:name w:val="Note"/>
    <w:basedOn w:val="BodyText"/>
    <w:rsid w:val="001A0C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0C97"/>
    <w:rPr>
      <w:b/>
      <w:spacing w:val="0"/>
    </w:rPr>
  </w:style>
  <w:style w:type="paragraph" w:customStyle="1" w:styleId="SuperTitle">
    <w:name w:val="SuperTitle"/>
    <w:basedOn w:val="Title"/>
    <w:rsid w:val="001A0C97"/>
    <w:pPr>
      <w:framePr w:wrap="auto" w:hAnchor="text" w:y="6049"/>
    </w:pPr>
    <w:rPr>
      <w:color w:val="000000"/>
      <w:sz w:val="40"/>
    </w:rPr>
  </w:style>
  <w:style w:type="paragraph" w:customStyle="1" w:styleId="TOCTitle">
    <w:name w:val="TOCTitle"/>
    <w:basedOn w:val="Heading1"/>
    <w:rsid w:val="001A0C97"/>
    <w:pPr>
      <w:spacing w:after="240"/>
      <w:jc w:val="center"/>
      <w:outlineLvl w:val="9"/>
    </w:pPr>
    <w:rPr>
      <w:caps/>
    </w:rPr>
  </w:style>
  <w:style w:type="paragraph" w:customStyle="1" w:styleId="Version">
    <w:name w:val="Version"/>
    <w:rsid w:val="001A0C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0C97"/>
    <w:pPr>
      <w:numPr>
        <w:numId w:val="13"/>
      </w:numPr>
      <w:tabs>
        <w:tab w:val="clear" w:pos="680"/>
      </w:tabs>
    </w:pPr>
  </w:style>
  <w:style w:type="paragraph" w:styleId="Index1">
    <w:name w:val="index 1"/>
    <w:basedOn w:val="Normal"/>
    <w:next w:val="Normal"/>
    <w:semiHidden/>
    <w:rsid w:val="001A0C97"/>
    <w:pPr>
      <w:keepNext w:val="0"/>
      <w:tabs>
        <w:tab w:val="right" w:pos="4176"/>
      </w:tabs>
      <w:ind w:left="198" w:hanging="198"/>
    </w:pPr>
    <w:rPr>
      <w:rFonts w:ascii="Garamond" w:hAnsi="Garamond"/>
    </w:rPr>
  </w:style>
  <w:style w:type="paragraph" w:styleId="IndexHeading">
    <w:name w:val="index heading"/>
    <w:basedOn w:val="Normal"/>
    <w:next w:val="Index1"/>
    <w:semiHidden/>
    <w:rsid w:val="001A0C97"/>
    <w:pPr>
      <w:spacing w:before="120" w:after="120"/>
    </w:pPr>
    <w:rPr>
      <w:rFonts w:ascii="Arial" w:hAnsi="Arial"/>
      <w:b/>
      <w:color w:val="918585"/>
      <w:sz w:val="24"/>
    </w:rPr>
  </w:style>
  <w:style w:type="paragraph" w:customStyle="1" w:styleId="Chapter">
    <w:name w:val="Chapter"/>
    <w:basedOn w:val="Normal"/>
    <w:rsid w:val="001A0C97"/>
    <w:pPr>
      <w:spacing w:before="240"/>
    </w:pPr>
    <w:rPr>
      <w:rFonts w:ascii="Times New Roman" w:hAnsi="Times New Roman"/>
      <w:smallCaps/>
      <w:spacing w:val="80"/>
      <w:sz w:val="28"/>
    </w:rPr>
  </w:style>
  <w:style w:type="paragraph" w:customStyle="1" w:styleId="InChapter">
    <w:name w:val="InChapter"/>
    <w:basedOn w:val="Heading3"/>
    <w:rsid w:val="001A0C97"/>
    <w:pPr>
      <w:spacing w:after="240"/>
      <w:outlineLvl w:val="9"/>
    </w:pPr>
    <w:rPr>
      <w:noProof/>
    </w:rPr>
  </w:style>
  <w:style w:type="paragraph" w:styleId="Index2">
    <w:name w:val="index 2"/>
    <w:basedOn w:val="Normal"/>
    <w:next w:val="Normal"/>
    <w:semiHidden/>
    <w:rsid w:val="001A0C97"/>
    <w:pPr>
      <w:tabs>
        <w:tab w:val="right" w:pos="4176"/>
      </w:tabs>
      <w:ind w:left="568" w:hanging="284"/>
    </w:pPr>
    <w:rPr>
      <w:rFonts w:ascii="Garamond" w:hAnsi="Garamond"/>
    </w:rPr>
  </w:style>
  <w:style w:type="paragraph" w:customStyle="1" w:styleId="Byline">
    <w:name w:val="Byline"/>
    <w:rsid w:val="001A0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C97"/>
    <w:pPr>
      <w:tabs>
        <w:tab w:val="clear" w:pos="3600"/>
        <w:tab w:val="clear" w:pos="3958"/>
      </w:tabs>
      <w:jc w:val="right"/>
    </w:pPr>
  </w:style>
  <w:style w:type="character" w:styleId="Emphasis">
    <w:name w:val="Emphasis"/>
    <w:basedOn w:val="DefaultParagraphFont"/>
    <w:qFormat/>
    <w:rsid w:val="001A0C97"/>
    <w:rPr>
      <w:i/>
    </w:rPr>
  </w:style>
  <w:style w:type="paragraph" w:styleId="Caption">
    <w:name w:val="caption"/>
    <w:basedOn w:val="BodyText"/>
    <w:next w:val="Normal"/>
    <w:qFormat/>
    <w:rsid w:val="001A0C97"/>
    <w:pPr>
      <w:framePr w:w="2268" w:hSpace="181" w:vSpace="181" w:wrap="around" w:vAnchor="text" w:hAnchor="page" w:x="1135" w:y="285" w:anchorLock="1"/>
    </w:pPr>
    <w:rPr>
      <w:i/>
    </w:rPr>
  </w:style>
  <w:style w:type="paragraph" w:customStyle="1" w:styleId="MiniTOCTitle">
    <w:name w:val="MiniTOCTitle"/>
    <w:basedOn w:val="Heading4"/>
    <w:rsid w:val="001A0C97"/>
    <w:pPr>
      <w:spacing w:before="240"/>
      <w:outlineLvl w:val="9"/>
    </w:pPr>
    <w:rPr>
      <w:noProof/>
      <w:sz w:val="24"/>
    </w:rPr>
  </w:style>
  <w:style w:type="paragraph" w:customStyle="1" w:styleId="SuperHeading">
    <w:name w:val="SuperHeading"/>
    <w:basedOn w:val="Normal"/>
    <w:rsid w:val="001A0C97"/>
    <w:pPr>
      <w:spacing w:before="240" w:after="120"/>
      <w:outlineLvl w:val="0"/>
    </w:pPr>
    <w:rPr>
      <w:rFonts w:ascii="Times New Roman" w:hAnsi="Times New Roman"/>
      <w:b/>
      <w:sz w:val="28"/>
    </w:rPr>
  </w:style>
  <w:style w:type="paragraph" w:customStyle="1" w:styleId="MiniTOCItem">
    <w:name w:val="MiniTOCItem"/>
    <w:basedOn w:val="ListBullet"/>
    <w:rsid w:val="001A0C97"/>
    <w:pPr>
      <w:numPr>
        <w:numId w:val="0"/>
      </w:numPr>
      <w:tabs>
        <w:tab w:val="right" w:leader="dot" w:pos="6521"/>
      </w:tabs>
      <w:spacing w:before="0" w:after="0"/>
    </w:pPr>
  </w:style>
  <w:style w:type="paragraph" w:customStyle="1" w:styleId="TOFTitle">
    <w:name w:val="TOFTitle"/>
    <w:basedOn w:val="TOCTitle"/>
    <w:rsid w:val="001A0C97"/>
  </w:style>
  <w:style w:type="paragraph" w:styleId="TableofFigures">
    <w:name w:val="table of figures"/>
    <w:basedOn w:val="Normal"/>
    <w:next w:val="Normal"/>
    <w:semiHidden/>
    <w:rsid w:val="001A0C97"/>
    <w:pPr>
      <w:tabs>
        <w:tab w:val="right" w:leader="dot" w:pos="9072"/>
      </w:tabs>
      <w:ind w:left="970" w:hanging="403"/>
    </w:pPr>
    <w:rPr>
      <w:rFonts w:ascii="Times New Roman" w:hAnsi="Times New Roman"/>
      <w:b/>
    </w:rPr>
  </w:style>
  <w:style w:type="paragraph" w:styleId="ListNumber">
    <w:name w:val="List Number"/>
    <w:basedOn w:val="List"/>
    <w:rsid w:val="001A0C97"/>
    <w:pPr>
      <w:numPr>
        <w:numId w:val="10"/>
      </w:numPr>
    </w:pPr>
  </w:style>
  <w:style w:type="character" w:customStyle="1" w:styleId="WingdingSymbols">
    <w:name w:val="Wingding Symbols"/>
    <w:rsid w:val="001A0C97"/>
    <w:rPr>
      <w:rFonts w:ascii="Wingdings" w:hAnsi="Wingdings"/>
    </w:rPr>
  </w:style>
  <w:style w:type="paragraph" w:customStyle="1" w:styleId="TableHeading">
    <w:name w:val="Table Heading"/>
    <w:basedOn w:val="HeadingBase"/>
    <w:rsid w:val="001A0C97"/>
    <w:pPr>
      <w:keepLines/>
      <w:pBdr>
        <w:bottom w:val="single" w:sz="6" w:space="1" w:color="918585"/>
      </w:pBdr>
      <w:spacing w:before="240"/>
    </w:pPr>
  </w:style>
  <w:style w:type="character" w:customStyle="1" w:styleId="HotSpot">
    <w:name w:val="HotSpot"/>
    <w:rsid w:val="001A0C97"/>
    <w:rPr>
      <w:color w:val="0033CC"/>
      <w:u w:val="none"/>
    </w:rPr>
  </w:style>
  <w:style w:type="paragraph" w:customStyle="1" w:styleId="BodyTextRight">
    <w:name w:val="Body Text Right"/>
    <w:basedOn w:val="BodyText"/>
    <w:rsid w:val="001A0C97"/>
    <w:pPr>
      <w:spacing w:before="0" w:after="0"/>
      <w:jc w:val="right"/>
    </w:pPr>
  </w:style>
  <w:style w:type="paragraph" w:styleId="Index3">
    <w:name w:val="index 3"/>
    <w:basedOn w:val="ListNumber2"/>
    <w:next w:val="Normal"/>
    <w:semiHidden/>
    <w:rsid w:val="001A0C97"/>
    <w:pPr>
      <w:numPr>
        <w:numId w:val="0"/>
      </w:numPr>
      <w:tabs>
        <w:tab w:val="right" w:leader="dot" w:pos="4176"/>
      </w:tabs>
    </w:pPr>
  </w:style>
  <w:style w:type="paragraph" w:styleId="ListNumber2">
    <w:name w:val="List Number 2"/>
    <w:basedOn w:val="List2"/>
    <w:rsid w:val="001A0C97"/>
    <w:pPr>
      <w:numPr>
        <w:numId w:val="9"/>
      </w:numPr>
      <w:tabs>
        <w:tab w:val="clear" w:pos="1060"/>
      </w:tabs>
    </w:pPr>
  </w:style>
  <w:style w:type="paragraph" w:customStyle="1" w:styleId="MarginNote">
    <w:name w:val="Margin Note"/>
    <w:basedOn w:val="BodyText"/>
    <w:rsid w:val="001A0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C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0C97"/>
    <w:rPr>
      <w:sz w:val="32"/>
    </w:rPr>
  </w:style>
  <w:style w:type="paragraph" w:customStyle="1" w:styleId="HeadingProcedure">
    <w:name w:val="Heading Procedure"/>
    <w:basedOn w:val="HeadingBase"/>
    <w:next w:val="Normal"/>
    <w:rsid w:val="001A0C97"/>
    <w:pPr>
      <w:tabs>
        <w:tab w:val="left" w:pos="0"/>
      </w:tabs>
      <w:spacing w:before="120" w:after="60"/>
    </w:pPr>
    <w:rPr>
      <w:i/>
      <w:color w:val="918585"/>
      <w:sz w:val="22"/>
    </w:rPr>
  </w:style>
  <w:style w:type="paragraph" w:customStyle="1" w:styleId="TableBodyText">
    <w:name w:val="Table Body Text"/>
    <w:basedOn w:val="BodyText"/>
    <w:rsid w:val="001A0C97"/>
    <w:pPr>
      <w:spacing w:before="60" w:after="60"/>
    </w:pPr>
  </w:style>
  <w:style w:type="paragraph" w:styleId="ListContinue">
    <w:name w:val="List Continue"/>
    <w:basedOn w:val="List"/>
    <w:rsid w:val="001A0C97"/>
    <w:pPr>
      <w:ind w:firstLine="0"/>
    </w:pPr>
  </w:style>
  <w:style w:type="paragraph" w:customStyle="1" w:styleId="ListNote">
    <w:name w:val="List Note"/>
    <w:basedOn w:val="List"/>
    <w:rsid w:val="001A0C97"/>
    <w:pPr>
      <w:pBdr>
        <w:top w:val="single" w:sz="6" w:space="2" w:color="918585"/>
        <w:bottom w:val="single" w:sz="6" w:space="2" w:color="918585"/>
      </w:pBdr>
      <w:tabs>
        <w:tab w:val="left" w:pos="1021"/>
      </w:tabs>
      <w:ind w:firstLine="0"/>
    </w:pPr>
  </w:style>
  <w:style w:type="paragraph" w:customStyle="1" w:styleId="Warning">
    <w:name w:val="Warning"/>
    <w:basedOn w:val="BodyText"/>
    <w:rsid w:val="001A0C97"/>
    <w:pPr>
      <w:shd w:val="clear" w:color="auto" w:fill="D9D9D9"/>
      <w:tabs>
        <w:tab w:val="left" w:pos="992"/>
      </w:tabs>
      <w:ind w:left="119" w:right="119"/>
    </w:pPr>
    <w:rPr>
      <w:sz w:val="20"/>
    </w:rPr>
  </w:style>
  <w:style w:type="paragraph" w:customStyle="1" w:styleId="MarginIcons">
    <w:name w:val="Margin Icons"/>
    <w:basedOn w:val="BodyText"/>
    <w:rsid w:val="001A0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C97"/>
    <w:rPr>
      <w:rFonts w:ascii="Courier New" w:hAnsi="Courier New"/>
    </w:rPr>
  </w:style>
  <w:style w:type="paragraph" w:customStyle="1" w:styleId="NoteBullet">
    <w:name w:val="Note Bullet"/>
    <w:basedOn w:val="Note"/>
    <w:rsid w:val="001A0C97"/>
    <w:pPr>
      <w:tabs>
        <w:tab w:val="clear" w:pos="680"/>
      </w:tabs>
      <w:spacing w:before="60" w:after="60"/>
    </w:pPr>
  </w:style>
  <w:style w:type="paragraph" w:customStyle="1" w:styleId="SubHeading2">
    <w:name w:val="SubHeading2"/>
    <w:basedOn w:val="HeadingBase"/>
    <w:rsid w:val="001A0C97"/>
    <w:pPr>
      <w:spacing w:before="240" w:after="60"/>
    </w:pPr>
    <w:rPr>
      <w:sz w:val="20"/>
    </w:rPr>
  </w:style>
  <w:style w:type="paragraph" w:customStyle="1" w:styleId="SubHeading1">
    <w:name w:val="SubHeading1"/>
    <w:basedOn w:val="HeadingBase"/>
    <w:rsid w:val="001A0C97"/>
    <w:pPr>
      <w:spacing w:before="240" w:after="60"/>
    </w:pPr>
    <w:rPr>
      <w:color w:val="918585"/>
      <w:sz w:val="22"/>
    </w:rPr>
  </w:style>
  <w:style w:type="paragraph" w:customStyle="1" w:styleId="SideHeading">
    <w:name w:val="Side Heading"/>
    <w:basedOn w:val="HeadingBase"/>
    <w:rsid w:val="001A0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C97"/>
    <w:pPr>
      <w:tabs>
        <w:tab w:val="num" w:pos="360"/>
      </w:tabs>
    </w:pPr>
  </w:style>
  <w:style w:type="paragraph" w:styleId="PlainText">
    <w:name w:val="Plain Text"/>
    <w:basedOn w:val="Normal"/>
    <w:link w:val="PlainTextChar"/>
    <w:rsid w:val="001A0C97"/>
    <w:rPr>
      <w:sz w:val="20"/>
    </w:rPr>
  </w:style>
  <w:style w:type="character" w:customStyle="1" w:styleId="PlainTextChar">
    <w:name w:val="Plain Text Char"/>
    <w:basedOn w:val="DefaultParagraphFont"/>
    <w:link w:val="PlainText"/>
    <w:rsid w:val="001A0C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0C97"/>
    <w:rPr>
      <w:b/>
      <w:smallCaps/>
    </w:rPr>
  </w:style>
  <w:style w:type="paragraph" w:customStyle="1" w:styleId="TableListNumber">
    <w:name w:val="Table List Number"/>
    <w:basedOn w:val="ListNumber"/>
    <w:rsid w:val="001A0C97"/>
    <w:pPr>
      <w:numPr>
        <w:numId w:val="0"/>
      </w:numPr>
    </w:pPr>
  </w:style>
  <w:style w:type="paragraph" w:styleId="TOC4">
    <w:name w:val="toc 4"/>
    <w:basedOn w:val="TOCBase"/>
    <w:next w:val="Normal"/>
    <w:semiHidden/>
    <w:rsid w:val="001A0C97"/>
    <w:pPr>
      <w:tabs>
        <w:tab w:val="right" w:leader="dot" w:pos="9071"/>
      </w:tabs>
      <w:ind w:left="1701"/>
    </w:pPr>
  </w:style>
  <w:style w:type="paragraph" w:customStyle="1" w:styleId="ListAlpha">
    <w:name w:val="List Alpha"/>
    <w:basedOn w:val="List"/>
    <w:rsid w:val="001A0C97"/>
    <w:pPr>
      <w:numPr>
        <w:numId w:val="8"/>
      </w:numPr>
    </w:pPr>
  </w:style>
  <w:style w:type="paragraph" w:customStyle="1" w:styleId="ListAlpha2">
    <w:name w:val="List Alpha 2"/>
    <w:basedOn w:val="List2"/>
    <w:rsid w:val="001A0C97"/>
    <w:pPr>
      <w:numPr>
        <w:numId w:val="7"/>
      </w:numPr>
    </w:pPr>
  </w:style>
  <w:style w:type="paragraph" w:styleId="List3">
    <w:name w:val="List 3"/>
    <w:basedOn w:val="BodyText"/>
    <w:rsid w:val="001A0C97"/>
    <w:pPr>
      <w:tabs>
        <w:tab w:val="left" w:pos="1021"/>
      </w:tabs>
      <w:spacing w:before="60" w:after="60"/>
      <w:ind w:left="1020" w:hanging="340"/>
    </w:pPr>
  </w:style>
  <w:style w:type="paragraph" w:styleId="List4">
    <w:name w:val="List 4"/>
    <w:basedOn w:val="BodyText"/>
    <w:rsid w:val="001A0C97"/>
    <w:pPr>
      <w:tabs>
        <w:tab w:val="left" w:pos="1361"/>
      </w:tabs>
      <w:spacing w:before="60" w:after="60"/>
      <w:ind w:left="1361" w:hanging="340"/>
    </w:pPr>
  </w:style>
  <w:style w:type="paragraph" w:styleId="List5">
    <w:name w:val="List 5"/>
    <w:basedOn w:val="BodyText"/>
    <w:rsid w:val="001A0C97"/>
    <w:pPr>
      <w:tabs>
        <w:tab w:val="left" w:pos="1701"/>
      </w:tabs>
      <w:spacing w:before="60" w:after="60"/>
      <w:ind w:left="1701" w:hanging="340"/>
    </w:pPr>
  </w:style>
  <w:style w:type="paragraph" w:styleId="ListBullet3">
    <w:name w:val="List Bullet 3"/>
    <w:basedOn w:val="List3"/>
    <w:rsid w:val="001A0C97"/>
    <w:pPr>
      <w:numPr>
        <w:numId w:val="14"/>
      </w:numPr>
      <w:tabs>
        <w:tab w:val="clear" w:pos="1021"/>
      </w:tabs>
      <w:ind w:left="1037" w:hanging="357"/>
    </w:pPr>
  </w:style>
  <w:style w:type="paragraph" w:styleId="ListBullet4">
    <w:name w:val="List Bullet 4"/>
    <w:basedOn w:val="List4"/>
    <w:rsid w:val="001A0C97"/>
    <w:pPr>
      <w:numPr>
        <w:numId w:val="2"/>
      </w:numPr>
    </w:pPr>
  </w:style>
  <w:style w:type="paragraph" w:styleId="ListBullet5">
    <w:name w:val="List Bullet 5"/>
    <w:basedOn w:val="List5"/>
    <w:rsid w:val="001A0C97"/>
    <w:pPr>
      <w:numPr>
        <w:numId w:val="3"/>
      </w:numPr>
    </w:pPr>
  </w:style>
  <w:style w:type="paragraph" w:styleId="ListContinue2">
    <w:name w:val="List Continue 2"/>
    <w:basedOn w:val="List2"/>
    <w:rsid w:val="001A0C97"/>
    <w:pPr>
      <w:ind w:firstLine="0"/>
    </w:pPr>
  </w:style>
  <w:style w:type="paragraph" w:styleId="ListContinue3">
    <w:name w:val="List Continue 3"/>
    <w:basedOn w:val="List3"/>
    <w:rsid w:val="001A0C97"/>
    <w:pPr>
      <w:ind w:left="1021" w:firstLine="0"/>
    </w:pPr>
  </w:style>
  <w:style w:type="paragraph" w:styleId="ListContinue4">
    <w:name w:val="List Continue 4"/>
    <w:basedOn w:val="List4"/>
    <w:rsid w:val="001A0C97"/>
    <w:pPr>
      <w:ind w:firstLine="0"/>
    </w:pPr>
  </w:style>
  <w:style w:type="paragraph" w:styleId="ListContinue5">
    <w:name w:val="List Continue 5"/>
    <w:basedOn w:val="List5"/>
    <w:rsid w:val="001A0C97"/>
    <w:pPr>
      <w:ind w:firstLine="0"/>
    </w:pPr>
  </w:style>
  <w:style w:type="paragraph" w:styleId="ListNumber3">
    <w:name w:val="List Number 3"/>
    <w:basedOn w:val="List3"/>
    <w:rsid w:val="001A0C97"/>
    <w:pPr>
      <w:numPr>
        <w:numId w:val="4"/>
      </w:numPr>
    </w:pPr>
  </w:style>
  <w:style w:type="paragraph" w:styleId="ListNumber4">
    <w:name w:val="List Number 4"/>
    <w:basedOn w:val="List4"/>
    <w:rsid w:val="001A0C97"/>
    <w:pPr>
      <w:numPr>
        <w:numId w:val="5"/>
      </w:numPr>
    </w:pPr>
  </w:style>
  <w:style w:type="paragraph" w:styleId="ListNumber5">
    <w:name w:val="List Number 5"/>
    <w:basedOn w:val="List5"/>
    <w:rsid w:val="001A0C97"/>
    <w:pPr>
      <w:numPr>
        <w:numId w:val="6"/>
      </w:numPr>
    </w:pPr>
  </w:style>
  <w:style w:type="paragraph" w:styleId="BlockText">
    <w:name w:val="Block Text"/>
    <w:basedOn w:val="Normal"/>
    <w:rsid w:val="001A0C97"/>
    <w:pPr>
      <w:spacing w:after="120"/>
      <w:ind w:left="1440" w:right="1440"/>
    </w:pPr>
  </w:style>
  <w:style w:type="character" w:customStyle="1" w:styleId="Subscript">
    <w:name w:val="Subscript"/>
    <w:basedOn w:val="DefaultParagraphFont"/>
    <w:rsid w:val="001A0C97"/>
    <w:rPr>
      <w:sz w:val="16"/>
      <w:vertAlign w:val="subscript"/>
    </w:rPr>
  </w:style>
  <w:style w:type="character" w:customStyle="1" w:styleId="Superscript">
    <w:name w:val="Superscript"/>
    <w:basedOn w:val="DefaultParagraphFont"/>
    <w:rsid w:val="001A0C97"/>
    <w:rPr>
      <w:sz w:val="16"/>
      <w:vertAlign w:val="superscript"/>
    </w:rPr>
  </w:style>
  <w:style w:type="character" w:customStyle="1" w:styleId="Symbols">
    <w:name w:val="Symbols"/>
    <w:basedOn w:val="DefaultParagraphFont"/>
    <w:rsid w:val="001A0C97"/>
    <w:rPr>
      <w:rFonts w:ascii="Symbol" w:hAnsi="Symbol"/>
    </w:rPr>
  </w:style>
  <w:style w:type="character" w:customStyle="1" w:styleId="MenuOptions">
    <w:name w:val="Menu Options"/>
    <w:basedOn w:val="DefaultParagraphFont"/>
    <w:rsid w:val="001A0C97"/>
    <w:rPr>
      <w:rFonts w:ascii="Arial Narrow" w:hAnsi="Arial Narrow"/>
      <w:smallCaps/>
    </w:rPr>
  </w:style>
  <w:style w:type="character" w:customStyle="1" w:styleId="Buttons">
    <w:name w:val="Buttons"/>
    <w:basedOn w:val="DefaultParagraphFont"/>
    <w:rsid w:val="001A0C97"/>
    <w:rPr>
      <w:b/>
    </w:rPr>
  </w:style>
  <w:style w:type="character" w:customStyle="1" w:styleId="Underlined">
    <w:name w:val="Underlined"/>
    <w:basedOn w:val="DefaultParagraphFont"/>
    <w:rsid w:val="001A0C97"/>
    <w:rPr>
      <w:u w:val="single"/>
    </w:rPr>
  </w:style>
  <w:style w:type="paragraph" w:customStyle="1" w:styleId="TableBodyTextRight">
    <w:name w:val="Table Body Text Right"/>
    <w:basedOn w:val="TableBodyText"/>
    <w:rsid w:val="001A0C97"/>
    <w:pPr>
      <w:widowControl w:val="0"/>
      <w:autoSpaceDE w:val="0"/>
      <w:autoSpaceDN w:val="0"/>
      <w:adjustRightInd w:val="0"/>
      <w:jc w:val="right"/>
    </w:pPr>
    <w:rPr>
      <w:rFonts w:cs="Arial"/>
      <w:szCs w:val="18"/>
    </w:rPr>
  </w:style>
  <w:style w:type="paragraph" w:customStyle="1" w:styleId="CopyrightText">
    <w:name w:val="Copyright Text"/>
    <w:basedOn w:val="BodyText"/>
    <w:rsid w:val="001A0C97"/>
    <w:rPr>
      <w:sz w:val="18"/>
    </w:rPr>
  </w:style>
  <w:style w:type="paragraph" w:customStyle="1" w:styleId="BodySmallRight">
    <w:name w:val="Body Small Right"/>
    <w:basedOn w:val="BodyTextRight"/>
    <w:rsid w:val="001A0C97"/>
    <w:rPr>
      <w:sz w:val="18"/>
      <w:szCs w:val="18"/>
    </w:rPr>
  </w:style>
  <w:style w:type="paragraph" w:customStyle="1" w:styleId="MarginEdition">
    <w:name w:val="Margin Edition"/>
    <w:basedOn w:val="MarginNote"/>
    <w:rsid w:val="001A0C97"/>
    <w:pPr>
      <w:spacing w:before="0" w:after="0"/>
    </w:pPr>
    <w:rPr>
      <w:rFonts w:ascii="Times New Roman" w:hAnsi="Times New Roman"/>
      <w:color w:val="999999"/>
    </w:rPr>
  </w:style>
  <w:style w:type="paragraph" w:customStyle="1" w:styleId="Spacer">
    <w:name w:val="Spacer"/>
    <w:basedOn w:val="Normal"/>
    <w:rsid w:val="001A0C97"/>
    <w:rPr>
      <w:sz w:val="2"/>
      <w:szCs w:val="2"/>
    </w:rPr>
  </w:style>
  <w:style w:type="character" w:customStyle="1" w:styleId="Small">
    <w:name w:val="Small"/>
    <w:basedOn w:val="DefaultParagraphFont"/>
    <w:rsid w:val="001A0C97"/>
    <w:rPr>
      <w:sz w:val="16"/>
    </w:rPr>
  </w:style>
  <w:style w:type="paragraph" w:customStyle="1" w:styleId="WideTable">
    <w:name w:val="Wide Table"/>
    <w:basedOn w:val="Normal"/>
    <w:rsid w:val="001A0C97"/>
    <w:pPr>
      <w:ind w:left="-1418"/>
    </w:pPr>
    <w:rPr>
      <w:sz w:val="2"/>
      <w:szCs w:val="2"/>
    </w:rPr>
  </w:style>
  <w:style w:type="character" w:styleId="PageNumber">
    <w:name w:val="page number"/>
    <w:basedOn w:val="DefaultParagraphFont"/>
    <w:rsid w:val="001A0C97"/>
  </w:style>
  <w:style w:type="paragraph" w:styleId="Quote">
    <w:name w:val="Quote"/>
    <w:basedOn w:val="Heading1"/>
    <w:link w:val="QuoteChar"/>
    <w:qFormat/>
    <w:rsid w:val="001A0C97"/>
    <w:rPr>
      <w:b w:val="0"/>
      <w:sz w:val="72"/>
      <w:szCs w:val="72"/>
      <w:lang w:val="en-NZ"/>
    </w:rPr>
  </w:style>
  <w:style w:type="character" w:customStyle="1" w:styleId="QuoteChar">
    <w:name w:val="Quote Char"/>
    <w:basedOn w:val="DefaultParagraphFont"/>
    <w:link w:val="Quote"/>
    <w:rsid w:val="001A0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C97"/>
    <w:pPr>
      <w:pageBreakBefore/>
    </w:pPr>
  </w:style>
  <w:style w:type="paragraph" w:customStyle="1" w:styleId="Border">
    <w:name w:val="Border"/>
    <w:basedOn w:val="Normal"/>
    <w:qFormat/>
    <w:rsid w:val="001A0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C97"/>
    <w:rPr>
      <w:b/>
      <w:bCs/>
      <w:i/>
      <w:iCs/>
      <w:color w:val="auto"/>
    </w:rPr>
  </w:style>
  <w:style w:type="paragraph" w:styleId="IntenseQuote">
    <w:name w:val="Intense Quote"/>
    <w:basedOn w:val="Normal"/>
    <w:next w:val="Normal"/>
    <w:link w:val="IntenseQuoteChar"/>
    <w:uiPriority w:val="30"/>
    <w:qFormat/>
    <w:rsid w:val="001A0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C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0C97"/>
    <w:rPr>
      <w:smallCaps/>
      <w:color w:val="auto"/>
      <w:u w:val="single"/>
    </w:rPr>
  </w:style>
  <w:style w:type="character" w:styleId="IntenseReference">
    <w:name w:val="Intense Reference"/>
    <w:basedOn w:val="DefaultParagraphFont"/>
    <w:uiPriority w:val="32"/>
    <w:qFormat/>
    <w:rsid w:val="001A0C97"/>
    <w:rPr>
      <w:b/>
      <w:bCs/>
      <w:smallCaps/>
      <w:color w:val="auto"/>
      <w:spacing w:val="5"/>
      <w:u w:val="single"/>
    </w:rPr>
  </w:style>
  <w:style w:type="paragraph" w:customStyle="1" w:styleId="2ColumnHeading">
    <w:name w:val="2Column Heading"/>
    <w:basedOn w:val="BodyText"/>
    <w:qFormat/>
    <w:rsid w:val="001A0C97"/>
    <w:pPr>
      <w:spacing w:after="60"/>
      <w:ind w:left="-2268"/>
    </w:pPr>
    <w:rPr>
      <w:b/>
    </w:rPr>
  </w:style>
  <w:style w:type="paragraph" w:customStyle="1" w:styleId="Heading1TOC">
    <w:name w:val="Heading1 TOC"/>
    <w:basedOn w:val="Normal"/>
    <w:qFormat/>
    <w:rsid w:val="001A0C97"/>
    <w:pPr>
      <w:spacing w:before="240" w:after="120"/>
    </w:pPr>
    <w:rPr>
      <w:rFonts w:ascii="Times New Roman" w:hAnsi="Times New Roman"/>
      <w:b/>
      <w:sz w:val="32"/>
    </w:rPr>
  </w:style>
  <w:style w:type="paragraph" w:customStyle="1" w:styleId="Heading2TOC">
    <w:name w:val="Heading2 TOC"/>
    <w:basedOn w:val="Normal"/>
    <w:qFormat/>
    <w:rsid w:val="001A0C97"/>
    <w:pPr>
      <w:spacing w:before="240" w:after="60"/>
    </w:pPr>
    <w:rPr>
      <w:rFonts w:ascii="Times New Roman" w:hAnsi="Times New Roman"/>
      <w:b/>
      <w:sz w:val="28"/>
    </w:rPr>
  </w:style>
  <w:style w:type="character" w:customStyle="1" w:styleId="Underline">
    <w:name w:val="Underline"/>
    <w:basedOn w:val="DefaultParagraphFont"/>
    <w:qFormat/>
    <w:rsid w:val="001A0C97"/>
    <w:rPr>
      <w:u w:val="single"/>
    </w:rPr>
  </w:style>
  <w:style w:type="character" w:customStyle="1" w:styleId="BoldandItalics">
    <w:name w:val="Bold and Italics"/>
    <w:qFormat/>
    <w:rsid w:val="001A0C97"/>
    <w:rPr>
      <w:b/>
      <w:i/>
      <w:u w:val="none"/>
    </w:rPr>
  </w:style>
  <w:style w:type="paragraph" w:styleId="BalloonText">
    <w:name w:val="Balloon Text"/>
    <w:basedOn w:val="Normal"/>
    <w:link w:val="BalloonTextChar"/>
    <w:rsid w:val="001A0C97"/>
    <w:rPr>
      <w:rFonts w:ascii="Tahoma" w:hAnsi="Tahoma" w:cs="Tahoma"/>
      <w:sz w:val="16"/>
      <w:szCs w:val="16"/>
    </w:rPr>
  </w:style>
  <w:style w:type="character" w:customStyle="1" w:styleId="BalloonTextChar">
    <w:name w:val="Balloon Text Char"/>
    <w:basedOn w:val="DefaultParagraphFont"/>
    <w:link w:val="BalloonText"/>
    <w:rsid w:val="001A0C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0C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0C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1441</Words>
  <Characters>9160</Characters>
  <Application>Microsoft Office Word</Application>
  <DocSecurity>0</DocSecurity>
  <Lines>369</Lines>
  <Paragraphs>218</Paragraphs>
  <ScaleCrop>false</ScaleCrop>
  <Company>Author-it Software Corporation Ltd.</Company>
  <LinksUpToDate>false</LinksUpToDate>
  <CharactersWithSpaces>10651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BSALF401A Maintain trust accounts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2012-05-26T22:45:00Z</dcterms:created>
  <dcterms:modified xsi:type="dcterms:W3CDTF">2012-05-26T22:45:00Z</dcterms:modified>
</cp:coreProperties>
</file>