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BDD" w:rsidP="005E7BDD">
      <w:pPr>
        <w:pStyle w:val="Title"/>
      </w:pPr>
      <w:bookmarkStart w:id="0" w:name="O_384399"/>
      <w:bookmarkEnd w:id="0"/>
      <w:r>
        <w:fldChar w:fldCharType="begin"/>
      </w:r>
      <w:r>
        <w:instrText xml:space="preserve"> TITLE   \* MERGEFORMAT </w:instrText>
      </w:r>
      <w:r>
        <w:fldChar w:fldCharType="separate"/>
      </w:r>
      <w:r>
        <w:t>BCCCM2002C Use small plant and equipment</w:t>
      </w:r>
      <w:r>
        <w:fldChar w:fldCharType="end"/>
      </w:r>
    </w:p>
    <w:p w:rsidR="005E7BDD" w:rsidP="005E7BDD">
      <w:pPr>
        <w:pStyle w:val="Version"/>
        <w:sectPr w:rsidSect="00C81A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AEA" w:rsidP="00C81AEA">
      <w:pPr>
        <w:pStyle w:val="Heading1"/>
      </w:pPr>
      <w:r w:rsidRPr="00C81AEA">
        <w:t>Modification History</w:t>
      </w:r>
    </w:p>
    <w:p w:rsidR="00000000" w:rsidRPr="00C81AEA" w:rsidP="00C81AEA">
      <w:pPr>
        <w:pStyle w:val="BodyText"/>
      </w:pPr>
      <w:r w:rsidRPr="00C81AEA">
        <w:t>Not Available</w:t>
      </w:r>
    </w:p>
    <w:p w:rsidR="00000000" w:rsidRPr="00C81AEA" w:rsidP="00C81AEA">
      <w:pPr>
        <w:pStyle w:val="AllowPageBreak"/>
      </w:pPr>
    </w:p>
    <w:p w:rsidR="00000000" w:rsidRPr="00C81AEA" w:rsidP="00C81AEA">
      <w:pPr>
        <w:pStyle w:val="Heading1"/>
      </w:pPr>
      <w:bookmarkStart w:id="2" w:name="O_384400"/>
      <w:bookmarkEnd w:id="2"/>
      <w:r w:rsidRPr="00C81AEA">
        <w:t>INTRODUCTION TO USE SMALL PLANT AND EQUIPMENT</w:t>
      </w:r>
    </w:p>
    <w:tbl>
      <w:tblPr>
        <w:tblW w:w="0" w:type="auto"/>
        <w:tblCellMar>
          <w:left w:w="62" w:type="dxa"/>
          <w:right w:w="62" w:type="dxa"/>
        </w:tblCellMar>
        <w:tblLook w:val="0000"/>
      </w:tblPr>
      <w:tblGrid>
        <w:gridCol w:w="3662"/>
        <w:gridCol w:w="5534"/>
      </w:tblGrid>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AEA">
            <w:pPr>
              <w:pStyle w:val="BodyText"/>
              <w:rPr>
                <w:lang w:val="en-NZ"/>
              </w:rPr>
            </w:pPr>
            <w:r w:rsidRPr="00C81AEA">
              <w:t>Unit Descriptor</w:t>
            </w:r>
          </w:p>
        </w:tc>
        <w:tc>
          <w:tcPr>
            <w:tcW w:w="0" w:type="auto"/>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 xml:space="preserve">This unit specifies the competency required to use a range of small plant and equipment commonly employed in </w:t>
            </w:r>
            <w:r w:rsidRPr="00C81AEA">
              <w:t>civil construction activities and sites. It includes the minimum criteria for competency assessment.</w:t>
            </w:r>
          </w:p>
          <w:p w:rsidR="00000000" w:rsidRPr="00C81AEA" w:rsidP="00C81AEA">
            <w:pPr>
              <w:pStyle w:val="BodyText"/>
            </w:pPr>
            <w:r w:rsidRPr="00C81AEA">
              <w:t>The unit covers the selection of the most appropriate equipment, the planning and preparation for work, the conduct of checks, the use of the plant or equi</w:t>
            </w:r>
            <w:r w:rsidRPr="00C81AEA">
              <w:t>pment and the post operational maintenance and clean up.</w:t>
            </w:r>
          </w:p>
          <w:p w:rsidR="00000000" w:rsidP="00C81AEA">
            <w:pPr>
              <w:pStyle w:val="BodyText"/>
              <w:rPr>
                <w:lang w:val="en-NZ"/>
              </w:rPr>
            </w:pPr>
          </w:p>
        </w:tc>
      </w:tr>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AEA">
            <w:pPr>
              <w:pStyle w:val="BodyText"/>
              <w:rPr>
                <w:lang w:val="en-NZ"/>
              </w:rPr>
            </w:pPr>
            <w:r w:rsidRPr="00C81AEA">
              <w:t>Employability Skills</w:t>
            </w:r>
          </w:p>
        </w:tc>
        <w:tc>
          <w:tcPr>
            <w:tcW w:w="0" w:type="auto"/>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The required outcomes described in this Unit of Competency contain applicable facets of employability skills. The</w:t>
            </w:r>
          </w:p>
          <w:p w:rsidR="00000000" w:rsidRPr="00C81AEA" w:rsidP="00C81AEA">
            <w:pPr>
              <w:pStyle w:val="BodyText"/>
            </w:pPr>
            <w:r w:rsidRPr="00C81AEA">
              <w:t>Employability Skills Qualification Summary for the qualification in which this Unit of Competency is packaged will assist in identifying employability skill requirements.</w:t>
            </w:r>
          </w:p>
          <w:p w:rsidR="00000000" w:rsidRPr="00C81AEA" w:rsidP="00C81AEA">
            <w:pPr>
              <w:pStyle w:val="BodyText"/>
            </w:pPr>
          </w:p>
        </w:tc>
      </w:tr>
    </w:tbl>
    <w:p w:rsidR="00000000" w:rsidRPr="00C81AEA" w:rsidP="00C81AEA">
      <w:pPr>
        <w:pStyle w:val="BodyText"/>
      </w:pPr>
    </w:p>
    <w:tbl>
      <w:tblPr>
        <w:tblW w:w="0" w:type="auto"/>
        <w:tblCellMar>
          <w:left w:w="62" w:type="dxa"/>
          <w:right w:w="62" w:type="dxa"/>
        </w:tblCellMar>
        <w:tblLook w:val="0000"/>
      </w:tblPr>
      <w:tblGrid>
        <w:gridCol w:w="3555"/>
        <w:gridCol w:w="5641"/>
      </w:tblGrid>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AEA">
            <w:pPr>
              <w:pStyle w:val="Heading2"/>
            </w:pPr>
            <w:r w:rsidRPr="00C81AEA">
              <w:t>Element</w:t>
            </w:r>
          </w:p>
        </w:tc>
        <w:tc>
          <w:tcPr>
            <w:tcW w:w="0" w:type="auto"/>
            <w:tcBorders>
              <w:top w:val="nil"/>
              <w:left w:val="nil"/>
              <w:bottom w:val="nil"/>
              <w:right w:val="nil"/>
            </w:tcBorders>
            <w:tcMar>
              <w:top w:w="0" w:type="dxa"/>
              <w:left w:w="62" w:type="dxa"/>
              <w:bottom w:w="0" w:type="dxa"/>
              <w:right w:w="62" w:type="dxa"/>
            </w:tcMar>
          </w:tcPr>
          <w:p w:rsidR="00000000" w:rsidP="00C81AEA">
            <w:pPr>
              <w:pStyle w:val="Heading2"/>
            </w:pPr>
            <w:r w:rsidRPr="00C81AEA">
              <w:t>Performance Criteria</w:t>
            </w:r>
          </w:p>
        </w:tc>
      </w:tr>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AEA">
            <w:pPr>
              <w:pStyle w:val="BodyText"/>
              <w:rPr>
                <w:lang w:val="en-NZ"/>
              </w:rPr>
            </w:pPr>
            <w:r w:rsidRPr="00C81AEA">
              <w:t xml:space="preserve">Elements define the essential outcomes of a unit of </w:t>
            </w:r>
            <w:r w:rsidRPr="00C81AEA">
              <w:t>competency</w:t>
            </w:r>
          </w:p>
        </w:tc>
        <w:tc>
          <w:tcPr>
            <w:tcW w:w="0" w:type="auto"/>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Performance criteria specify the level of performance required to demonstrate achievement of the element.</w:t>
            </w:r>
          </w:p>
          <w:p w:rsidR="00000000" w:rsidP="00C81AEA">
            <w:pPr>
              <w:pStyle w:val="BodyText"/>
              <w:rPr>
                <w:lang w:val="en-NZ"/>
              </w:rPr>
            </w:pPr>
          </w:p>
        </w:tc>
      </w:tr>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AEA">
            <w:pPr>
              <w:pStyle w:val="BodyText"/>
              <w:rPr>
                <w:lang w:val="en-NZ"/>
              </w:rPr>
            </w:pPr>
            <w:r w:rsidRPr="00C81AEA">
              <w:t>1 Plan and prepare</w:t>
            </w:r>
          </w:p>
        </w:tc>
        <w:tc>
          <w:tcPr>
            <w:tcW w:w="0" w:type="auto"/>
            <w:tcBorders>
              <w:top w:val="nil"/>
              <w:left w:val="nil"/>
              <w:bottom w:val="nil"/>
              <w:right w:val="nil"/>
            </w:tcBorders>
            <w:tcMar>
              <w:top w:w="0" w:type="dxa"/>
              <w:left w:w="62" w:type="dxa"/>
              <w:bottom w:w="0" w:type="dxa"/>
              <w:right w:w="62" w:type="dxa"/>
            </w:tcMar>
          </w:tcPr>
          <w:p w:rsidR="00000000" w:rsidRPr="00C81AEA" w:rsidP="00C81AEA">
            <w:pPr>
              <w:pStyle w:val="List"/>
            </w:pPr>
            <w:r w:rsidRPr="00C81AEA">
              <w:t>1.1</w:t>
            </w:r>
            <w:r w:rsidRPr="00C81AEA">
              <w:tab/>
              <w:t>Work instructions, including plans, specifications, quality requirements and operational details are obtained, con</w:t>
            </w:r>
            <w:r w:rsidRPr="00C81AEA">
              <w:t>firmed and applied to the allotted task</w:t>
            </w:r>
          </w:p>
          <w:p w:rsidR="00000000" w:rsidRPr="00C81AEA" w:rsidP="00C81AEA">
            <w:pPr>
              <w:pStyle w:val="List"/>
            </w:pPr>
            <w:r w:rsidRPr="00C81AEA">
              <w:t>1.2</w:t>
            </w:r>
            <w:r w:rsidRPr="00C81AEA">
              <w:tab/>
              <w:t>Safety requirements are obtained from the site safety plan and organisational policies and procedures, confirmed and applied to the allotted task</w:t>
            </w:r>
          </w:p>
          <w:p w:rsidR="00000000" w:rsidRPr="00C81AEA" w:rsidP="00C81AEA">
            <w:pPr>
              <w:pStyle w:val="List"/>
            </w:pPr>
            <w:r w:rsidRPr="00C81AEA">
              <w:t>1.3</w:t>
            </w:r>
            <w:r w:rsidRPr="00C81AEA">
              <w:tab/>
            </w:r>
            <w:r w:rsidRPr="00C81AEA">
              <w:t>Plant, tools and equipment selected to carry out tasks are consistent with the requirements of the job</w:t>
            </w:r>
          </w:p>
          <w:p w:rsidR="00000000" w:rsidRPr="00C81AEA" w:rsidP="00C81AEA">
            <w:pPr>
              <w:pStyle w:val="List"/>
            </w:pPr>
            <w:r w:rsidRPr="00C81AEA">
              <w:t>1.4</w:t>
            </w:r>
            <w:r w:rsidRPr="00C81AEA">
              <w:tab/>
              <w:t>Environmental protection requirements are identified from the project environmental management plan, confirmed and applied to the allotted task</w:t>
            </w:r>
          </w:p>
          <w:p w:rsidR="00000000" w:rsidP="00C81AEA">
            <w:pPr>
              <w:pStyle w:val="BodyText"/>
              <w:rPr>
                <w:lang w:val="en-NZ"/>
              </w:rPr>
            </w:pPr>
          </w:p>
        </w:tc>
      </w:tr>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2 C</w:t>
            </w:r>
            <w:r w:rsidRPr="00C81AEA">
              <w:t>onduct pre- operational checks</w:t>
            </w:r>
          </w:p>
          <w:p w:rsidR="00000000" w:rsidP="00C81AE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81AEA" w:rsidP="00C81AEA">
            <w:pPr>
              <w:pStyle w:val="List"/>
            </w:pPr>
            <w:r w:rsidRPr="00C81AEA">
              <w:t>2.1</w:t>
            </w:r>
            <w:r w:rsidRPr="00C81AEA">
              <w:tab/>
              <w:t>Fuel and lubricants are selected according to manufacturers’ specifications</w:t>
            </w:r>
          </w:p>
          <w:p w:rsidR="00000000" w:rsidRPr="00C81AEA" w:rsidP="00C81AEA">
            <w:pPr>
              <w:pStyle w:val="List"/>
            </w:pPr>
            <w:r w:rsidRPr="00C81AEA">
              <w:t>2.2</w:t>
            </w:r>
            <w:r w:rsidRPr="00C81AEA">
              <w:tab/>
              <w:t>Fuel, oil, hydraulic fluid and water levels are checked and adjusted according to manufacturers’ manual</w:t>
            </w:r>
          </w:p>
          <w:p w:rsidR="00000000" w:rsidRPr="00C81AEA" w:rsidP="00C81AEA">
            <w:pPr>
              <w:pStyle w:val="List"/>
            </w:pPr>
            <w:r w:rsidRPr="00C81AEA">
              <w:t>2.3</w:t>
            </w:r>
            <w:r w:rsidRPr="00C81AEA">
              <w:tab/>
              <w:t>Bolts, nuts, guards and attachme</w:t>
            </w:r>
            <w:r w:rsidRPr="00C81AEA">
              <w:t>nt couplings are secured/tightened and maintained in accordance with manufacturers’ instructions</w:t>
            </w:r>
          </w:p>
          <w:p w:rsidR="00000000" w:rsidRPr="00C81AEA" w:rsidP="00C81AEA">
            <w:pPr>
              <w:pStyle w:val="List"/>
            </w:pPr>
            <w:r w:rsidRPr="00C81AEA">
              <w:t>2.4</w:t>
            </w:r>
            <w:r w:rsidRPr="00C81AEA">
              <w:tab/>
              <w:t>Function of controls and gauges are checked and adjusted where necessary to comply with manufacturers’ manual</w:t>
            </w:r>
          </w:p>
          <w:p w:rsidR="00000000" w:rsidRPr="00C81AEA" w:rsidP="00C81AEA">
            <w:pPr>
              <w:pStyle w:val="List"/>
            </w:pPr>
            <w:r w:rsidRPr="00C81AEA">
              <w:t>2.5</w:t>
            </w:r>
            <w:r w:rsidRPr="00C81AEA">
              <w:tab/>
              <w:t>Standard start-up and shut down procedure</w:t>
            </w:r>
            <w:r w:rsidRPr="00C81AEA">
              <w:t>s are conducted according to requirements of operators’ manual</w:t>
            </w:r>
          </w:p>
          <w:p w:rsidR="00000000" w:rsidP="00C81AEA">
            <w:pPr>
              <w:pStyle w:val="BodyText"/>
              <w:rPr>
                <w:lang w:val="en-NZ"/>
              </w:rPr>
            </w:pPr>
          </w:p>
        </w:tc>
      </w:tr>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3 Use small plant and equipment</w:t>
            </w:r>
          </w:p>
          <w:p w:rsidR="00000000" w:rsidP="00C81AE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81AEA" w:rsidP="00C81AEA">
            <w:pPr>
              <w:pStyle w:val="List"/>
            </w:pPr>
            <w:r w:rsidRPr="00C81AEA">
              <w:t>3.1</w:t>
            </w:r>
            <w:r w:rsidRPr="00C81AEA">
              <w:tab/>
              <w:t xml:space="preserve">Site hazards associated with small plant and equipment operations are identified and appropriate controls established in accordance with the requirements </w:t>
            </w:r>
            <w:r w:rsidRPr="00C81AEA">
              <w:t>of the site safety plan</w:t>
            </w:r>
          </w:p>
          <w:p w:rsidR="00000000" w:rsidRPr="00C81AEA" w:rsidP="00C81AEA">
            <w:pPr>
              <w:pStyle w:val="List"/>
            </w:pPr>
            <w:r w:rsidRPr="00C81AEA">
              <w:t>3.2</w:t>
            </w:r>
            <w:r w:rsidRPr="00C81AEA">
              <w:tab/>
              <w:t>Operating techniques for small plant and equipment are identified and applied to achieve optimum output in accordance with manufactures’ design specifications while maintaining specified tolerances</w:t>
            </w:r>
          </w:p>
          <w:p w:rsidR="00000000" w:rsidRPr="00C81AEA" w:rsidP="00C81AEA">
            <w:pPr>
              <w:pStyle w:val="List"/>
            </w:pPr>
            <w:r w:rsidRPr="00C81AEA">
              <w:t>3.3</w:t>
            </w:r>
            <w:r w:rsidRPr="00C81AEA">
              <w:tab/>
              <w:t>Machine is operated to pro</w:t>
            </w:r>
            <w:r w:rsidRPr="00C81AEA">
              <w:t>duce results within design specifications to meet specified tolerances</w:t>
            </w:r>
          </w:p>
          <w:p w:rsidR="00000000" w:rsidRPr="00C81AEA" w:rsidP="00C81AEA">
            <w:pPr>
              <w:pStyle w:val="List"/>
            </w:pPr>
            <w:r w:rsidRPr="00C81AEA">
              <w:t>3.4</w:t>
            </w:r>
            <w:r w:rsidRPr="00C81AEA">
              <w:tab/>
              <w:t>Plant and equipment are safely located when not in immediate use</w:t>
            </w:r>
          </w:p>
          <w:p w:rsidR="00000000" w:rsidRPr="00C81AEA" w:rsidP="00C81AEA">
            <w:pPr>
              <w:pStyle w:val="List"/>
            </w:pPr>
            <w:r w:rsidRPr="00C81AEA">
              <w:t>3.5</w:t>
            </w:r>
            <w:r w:rsidRPr="00C81AEA">
              <w:tab/>
              <w:t>Responsibility of self direction to achieve finished product to job/design specifications is assumed</w:t>
            </w:r>
          </w:p>
          <w:p w:rsidR="00000000" w:rsidP="00C81AEA">
            <w:pPr>
              <w:pStyle w:val="BodyText"/>
              <w:rPr>
                <w:lang w:val="en-NZ"/>
              </w:rPr>
            </w:pPr>
          </w:p>
        </w:tc>
      </w:tr>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4 Carry out operator maintenance</w:t>
            </w:r>
          </w:p>
          <w:p w:rsidR="00000000" w:rsidP="00C81AE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81AEA" w:rsidP="00C81AEA">
            <w:pPr>
              <w:pStyle w:val="List"/>
            </w:pPr>
            <w:r w:rsidRPr="00C81AEA">
              <w:t>4.1</w:t>
            </w:r>
            <w:r w:rsidRPr="00C81AEA">
              <w:tab/>
              <w:t>Plant/equipment is shut down and prepared for maintenance as per manufacturers’ manual and organisational requirements</w:t>
            </w:r>
          </w:p>
          <w:p w:rsidR="00000000" w:rsidRPr="00C81AEA" w:rsidP="00C81AEA">
            <w:pPr>
              <w:pStyle w:val="List"/>
            </w:pPr>
          </w:p>
          <w:p w:rsidR="00000000" w:rsidRPr="00C81AEA" w:rsidP="00C81AEA">
            <w:pPr>
              <w:pStyle w:val="List"/>
            </w:pPr>
            <w:r w:rsidRPr="00C81AEA">
              <w:t>4.2</w:t>
            </w:r>
            <w:r w:rsidRPr="00C81AEA">
              <w:tab/>
              <w:t>Inspection and fault finding are conducted in accordance with manufactures’ specifications and</w:t>
            </w:r>
            <w:r w:rsidRPr="00C81AEA">
              <w:t>/or organisational requirements</w:t>
            </w:r>
          </w:p>
          <w:p w:rsidR="00000000" w:rsidRPr="00C81AEA" w:rsidP="00C81AEA">
            <w:pPr>
              <w:pStyle w:val="List"/>
            </w:pPr>
          </w:p>
          <w:p w:rsidR="00000000" w:rsidRPr="00C81AEA" w:rsidP="00C81AEA">
            <w:pPr>
              <w:pStyle w:val="List"/>
            </w:pPr>
            <w:r w:rsidRPr="00C81AEA">
              <w:t>4.3</w:t>
            </w:r>
            <w:r w:rsidRPr="00C81AEA">
              <w:tab/>
              <w:t>Defective parts are removed and replaced safely and effectively according to manufacturers’ manual and organisational requirements</w:t>
            </w:r>
          </w:p>
          <w:p w:rsidR="00000000" w:rsidRPr="00C81AEA" w:rsidP="00C81AEA">
            <w:pPr>
              <w:pStyle w:val="List"/>
            </w:pPr>
          </w:p>
          <w:p w:rsidR="00000000" w:rsidRPr="00C81AEA" w:rsidP="00C81AEA">
            <w:pPr>
              <w:pStyle w:val="List"/>
            </w:pPr>
            <w:r w:rsidRPr="00C81AEA">
              <w:t>4.4</w:t>
            </w:r>
            <w:r w:rsidRPr="00C81AEA">
              <w:tab/>
              <w:t>Regular programmed maintenances tasks are carried out in accordance with manufactur</w:t>
            </w:r>
            <w:r w:rsidRPr="00C81AEA">
              <w:t>ers’ and/or organisational requirements</w:t>
            </w:r>
          </w:p>
          <w:p w:rsidR="00000000" w:rsidP="00C81AEA">
            <w:pPr>
              <w:pStyle w:val="BodyText"/>
              <w:rPr>
                <w:lang w:val="en-NZ"/>
              </w:rPr>
            </w:pPr>
          </w:p>
        </w:tc>
      </w:tr>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AEA">
            <w:pPr>
              <w:pStyle w:val="BodyText"/>
              <w:rPr>
                <w:lang w:val="en-NZ"/>
              </w:rPr>
            </w:pPr>
            <w:r w:rsidRPr="00C81AEA">
              <w:t>5 Clean Up</w:t>
            </w:r>
          </w:p>
        </w:tc>
        <w:tc>
          <w:tcPr>
            <w:tcW w:w="0" w:type="auto"/>
            <w:tcBorders>
              <w:top w:val="nil"/>
              <w:left w:val="nil"/>
              <w:bottom w:val="nil"/>
              <w:right w:val="nil"/>
            </w:tcBorders>
            <w:tcMar>
              <w:top w:w="0" w:type="dxa"/>
              <w:left w:w="62" w:type="dxa"/>
              <w:bottom w:w="0" w:type="dxa"/>
              <w:right w:w="62" w:type="dxa"/>
            </w:tcMar>
          </w:tcPr>
          <w:p w:rsidR="00000000" w:rsidRPr="00C81AEA" w:rsidP="00C81AEA">
            <w:pPr>
              <w:pStyle w:val="List"/>
            </w:pPr>
            <w:r w:rsidRPr="00C81AEA">
              <w:t>5.1 Work area is cleared and materials disposed of or recycled in accordance with project environmental management plan</w:t>
            </w:r>
          </w:p>
          <w:p w:rsidR="00000000" w:rsidRPr="00C81AEA" w:rsidP="00C81AEA">
            <w:pPr>
              <w:pStyle w:val="List"/>
            </w:pPr>
            <w:r w:rsidRPr="00C81AEA">
              <w:t>5.2 Plant, equipment and tools are cleaned, checked, maintained and stored in accor</w:t>
            </w:r>
            <w:r w:rsidRPr="00C81AEA">
              <w:t>dance with manufacturers' recommendations and standard work practices.</w:t>
            </w:r>
          </w:p>
        </w:tc>
      </w:tr>
    </w:tbl>
    <w:p w:rsidR="00000000" w:rsidRPr="00C81AEA" w:rsidP="00C81AEA">
      <w:pPr>
        <w:pStyle w:val="BodyText"/>
      </w:pPr>
    </w:p>
    <w:p w:rsidR="00000000" w:rsidRPr="00C81AEA" w:rsidP="00C81AEA"/>
    <w:p w:rsidR="00000000" w:rsidRPr="00C81AEA" w:rsidP="00C81AEA">
      <w:pPr>
        <w:sectPr w:rsidSect="00C81AEA">
          <w:headerReference w:type="default" r:id="rId10"/>
          <w:footerReference w:type="default" r:id="rId11"/>
          <w:pgSz w:w="11908" w:h="16833"/>
          <w:pgMar w:top="1700" w:right="1418" w:bottom="1700" w:left="1418" w:header="992" w:footer="992" w:gutter="0"/>
          <w:cols w:space="720"/>
          <w:noEndnote/>
          <w:docGrid w:linePitch="299"/>
        </w:sectPr>
      </w:pPr>
    </w:p>
    <w:p w:rsidR="00000000" w:rsidRPr="00C81AEA" w:rsidP="00C81AEA">
      <w:pPr>
        <w:pStyle w:val="Heading1"/>
      </w:pPr>
      <w:bookmarkStart w:id="3" w:name="O_384401"/>
      <w:bookmarkEnd w:id="3"/>
      <w:r w:rsidRPr="00C81AEA">
        <w:t>RANGE STATEMENT</w:t>
      </w:r>
    </w:p>
    <w:p w:rsidR="00000000" w:rsidRPr="00C81AEA" w:rsidP="00C81AEA">
      <w:pPr>
        <w:pStyle w:val="BodyText"/>
      </w:pPr>
      <w:r w:rsidRPr="00C81AEA">
        <w:t>The Range Statement provides advice to interpret the scope and context of this unit of competency allowing for differences between enterprises and workplaces. It relates to the unit as a whole and facilitates holistic assessment. The following variables re</w:t>
      </w:r>
      <w:r w:rsidRPr="00C81AEA">
        <w:t>late to this particular unit:</w:t>
      </w:r>
    </w:p>
    <w:tbl>
      <w:tblPr>
        <w:tblW w:w="0" w:type="auto"/>
        <w:tblCellMar>
          <w:left w:w="62" w:type="dxa"/>
          <w:right w:w="62" w:type="dxa"/>
        </w:tblCellMar>
        <w:tblLook w:val="0000"/>
      </w:tblPr>
      <w:tblGrid>
        <w:gridCol w:w="3529"/>
        <w:gridCol w:w="5667"/>
      </w:tblGrid>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AEA">
            <w:pPr>
              <w:pStyle w:val="BodyText"/>
              <w:rPr>
                <w:lang w:val="en-NZ"/>
              </w:rPr>
            </w:pPr>
            <w:r w:rsidRPr="00C81AEA">
              <w:t>Unit scope</w:t>
            </w:r>
          </w:p>
        </w:tc>
        <w:tc>
          <w:tcPr>
            <w:tcW w:w="0" w:type="auto"/>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Small plant and equipment are classed in the following categories:</w:t>
            </w:r>
          </w:p>
          <w:p w:rsidR="00000000" w:rsidRPr="00C81AEA" w:rsidP="00C81AEA">
            <w:pPr>
              <w:pStyle w:val="BodyText"/>
            </w:pPr>
            <w:r w:rsidRPr="00C81AEA">
              <w:t>Pneumatic powered (jackhammers, trench rammers or wacker tamping rammers)</w:t>
            </w:r>
          </w:p>
          <w:p w:rsidR="00000000" w:rsidRPr="00C81AEA" w:rsidP="00C81AEA">
            <w:pPr>
              <w:pStyle w:val="BodyText"/>
            </w:pPr>
            <w:r w:rsidRPr="00C81AEA">
              <w:t>Electrically powered (alternators/generators, battery chargers, compressor</w:t>
            </w:r>
            <w:r w:rsidRPr="00C81AEA">
              <w:t>s, circular saws, concrete mixers, hammer drills or lighting sets)</w:t>
            </w:r>
          </w:p>
          <w:p w:rsidR="00000000" w:rsidRPr="00C81AEA" w:rsidP="00C81AEA">
            <w:pPr>
              <w:pStyle w:val="BodyText"/>
            </w:pPr>
            <w:r w:rsidRPr="00C81AEA">
              <w:t xml:space="preserve">Petrol or diesel driven (brush cutters, compressors, concrete mixers, emulsion screed boards, masonry concrete saws, post hole diggers, telescopic tree pruners, vibrator concrete pencil or </w:t>
            </w:r>
            <w:r w:rsidRPr="00C81AEA">
              <w:t>water pumps)</w:t>
            </w:r>
          </w:p>
          <w:p w:rsidR="00000000" w:rsidRPr="00C81AEA" w:rsidP="00C81AEA">
            <w:pPr>
              <w:pStyle w:val="BodyText"/>
            </w:pPr>
            <w:r w:rsidRPr="00C81AEA">
              <w:t>Other (solar powered sign boards, small pedestrian manually operated rollers)</w:t>
            </w:r>
          </w:p>
          <w:p w:rsidR="00000000" w:rsidRPr="00C81AEA" w:rsidP="00C81AEA">
            <w:pPr>
              <w:pStyle w:val="BodyText"/>
            </w:pPr>
            <w:r w:rsidRPr="00C81AEA">
              <w:t>Power sources may include 240 volt electricity, compressed air and petrol/diesel motors and hydraulics</w:t>
            </w:r>
          </w:p>
          <w:p w:rsidR="00000000" w:rsidRPr="00C81AEA" w:rsidP="00C81AEA">
            <w:pPr>
              <w:pStyle w:val="BodyText"/>
            </w:pPr>
            <w:r w:rsidRPr="00C81AEA">
              <w:t>Operator maintenance is to include cleaning, authorised servic</w:t>
            </w:r>
            <w:r w:rsidRPr="00C81AEA">
              <w:t>ing and the monitoring, recording and reporting of faults.  It may also include the conduct of authorised minor replacements</w:t>
            </w:r>
          </w:p>
          <w:p w:rsidR="00000000" w:rsidP="00C81AEA">
            <w:pPr>
              <w:pStyle w:val="BodyText"/>
              <w:rPr>
                <w:lang w:val="en-NZ"/>
              </w:rPr>
            </w:pPr>
          </w:p>
        </w:tc>
      </w:tr>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AEA">
            <w:pPr>
              <w:pStyle w:val="BodyText"/>
              <w:rPr>
                <w:lang w:val="en-NZ"/>
              </w:rPr>
            </w:pPr>
            <w:r w:rsidRPr="00C81AEA">
              <w:t>Safety (OH&amp;S)</w:t>
            </w:r>
          </w:p>
        </w:tc>
        <w:tc>
          <w:tcPr>
            <w:tcW w:w="0" w:type="auto"/>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OH&amp;S requirements are to be in accordance with State or Territory legislation and regulations, organisational safet</w:t>
            </w:r>
            <w:r w:rsidRPr="00C81AEA">
              <w:t>y policies and procedures, and project safety plan.  This may include protective clothing and equipment, use of tools and equipment, workplace environment and safety, handling of materials, use of fire fighting equipment, use of first aid equipment, hazard</w:t>
            </w:r>
            <w:r w:rsidRPr="00C81AEA">
              <w:t xml:space="preserve"> control and hazardous materials and substances</w:t>
            </w:r>
          </w:p>
          <w:p w:rsidR="00000000" w:rsidRPr="00C81AEA" w:rsidP="00C81AEA">
            <w:pPr>
              <w:pStyle w:val="BodyText"/>
            </w:pPr>
            <w:r w:rsidRPr="00C81AEA">
              <w:t>Personal protective equipment is to include that prescribed under legislation, regulation and workplace policies and practices</w:t>
            </w:r>
          </w:p>
          <w:p w:rsidR="00000000" w:rsidRPr="00C81AEA" w:rsidP="00C81AEA">
            <w:pPr>
              <w:pStyle w:val="BodyText"/>
            </w:pPr>
            <w:r w:rsidRPr="00C81AEA">
              <w:t>Safe operating procedures are to include but not be limited to recognising and pr</w:t>
            </w:r>
            <w:r w:rsidRPr="00C81AEA">
              <w:t>eventing hazards associated with underground and overhead services, other machines, personnel restricted access barriers, traffic control, working at heights, working in proximity to others, worksite visitors and the public</w:t>
            </w:r>
          </w:p>
          <w:p w:rsidR="00000000" w:rsidRPr="00C81AEA" w:rsidP="00C81AEA">
            <w:pPr>
              <w:pStyle w:val="BodyText"/>
            </w:pPr>
            <w:r w:rsidRPr="00C81AEA">
              <w:t>Hazards and risks may include bu</w:t>
            </w:r>
            <w:r w:rsidRPr="00C81AEA">
              <w:t>t not be limited to uneven/unstable terrain, trees, fires, overhead and underground services, bridges, buildings, excavations, traffic, embankments, cuttings, structures and hazardous materials</w:t>
            </w:r>
          </w:p>
          <w:p w:rsidR="00000000" w:rsidRPr="00C81AEA" w:rsidP="00C81AEA">
            <w:pPr>
              <w:pStyle w:val="BodyText"/>
            </w:pPr>
          </w:p>
          <w:p w:rsidR="00000000" w:rsidRPr="00C81AEA" w:rsidP="00C81AEA">
            <w:pPr>
              <w:pStyle w:val="BodyText"/>
            </w:pPr>
            <w:r w:rsidRPr="00C81AEA">
              <w:t>Emergency procedures related to equipment operation are to in</w:t>
            </w:r>
            <w:r w:rsidRPr="00C81AEA">
              <w:t>clude but may not be limited to emergency shutdown and stopping, extinguishing equipment fires, organisational first aid requirements and evacuation</w:t>
            </w:r>
          </w:p>
          <w:p w:rsidR="00000000" w:rsidP="00C81AEA">
            <w:pPr>
              <w:pStyle w:val="BodyText"/>
              <w:rPr>
                <w:lang w:val="en-NZ"/>
              </w:rPr>
            </w:pPr>
          </w:p>
        </w:tc>
      </w:tr>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Environmental Requirements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 xml:space="preserve">Environmental requirements </w:t>
            </w:r>
            <w:r w:rsidRPr="00C81AEA">
              <w:t>are to include but are not limited to organisational/project environmental management plan, waste management, water quality protection, noise, vibration, dust and clean-up management</w:t>
            </w:r>
          </w:p>
          <w:p w:rsidR="00000000" w:rsidP="00C81AEA">
            <w:pPr>
              <w:pStyle w:val="BodyText"/>
              <w:rPr>
                <w:lang w:val="en-NZ"/>
              </w:rPr>
            </w:pPr>
          </w:p>
        </w:tc>
      </w:tr>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AEA">
            <w:pPr>
              <w:pStyle w:val="BodyText"/>
              <w:rPr>
                <w:lang w:val="en-NZ"/>
              </w:rPr>
            </w:pPr>
            <w:r w:rsidRPr="00C81AEA">
              <w:t>Quality Requirements</w:t>
            </w:r>
          </w:p>
        </w:tc>
        <w:tc>
          <w:tcPr>
            <w:tcW w:w="0" w:type="auto"/>
            <w:tcBorders>
              <w:top w:val="nil"/>
              <w:left w:val="nil"/>
              <w:bottom w:val="nil"/>
              <w:right w:val="nil"/>
            </w:tcBorders>
            <w:tcMar>
              <w:top w:w="0" w:type="dxa"/>
              <w:left w:w="62" w:type="dxa"/>
              <w:bottom w:w="0" w:type="dxa"/>
              <w:right w:w="62" w:type="dxa"/>
            </w:tcMar>
          </w:tcPr>
          <w:p w:rsidR="00000000" w:rsidP="00C81AEA">
            <w:pPr>
              <w:pStyle w:val="BodyText"/>
              <w:rPr>
                <w:lang w:val="en-NZ"/>
              </w:rPr>
            </w:pPr>
            <w:r w:rsidRPr="00C81AEA">
              <w:t>Quality requirements may include but not be limite</w:t>
            </w:r>
            <w:r w:rsidRPr="00C81AEA">
              <w:t>d to dimensions, tolerances, standards of work and material standards as detailed in the project drawings, specifications and project documentation to meet client satisfaction</w:t>
            </w:r>
          </w:p>
        </w:tc>
      </w:tr>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Statutory/Regulatory Authorities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State/Regulatory Authorities may include Fede</w:t>
            </w:r>
            <w:r w:rsidRPr="00C81AEA">
              <w:t>ral, State and Local Authorities</w:t>
            </w:r>
          </w:p>
          <w:p w:rsidR="00000000" w:rsidP="00C81AEA">
            <w:pPr>
              <w:pStyle w:val="BodyText"/>
              <w:rPr>
                <w:lang w:val="en-NZ"/>
              </w:rPr>
            </w:pPr>
          </w:p>
        </w:tc>
      </w:tr>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AEA">
            <w:pPr>
              <w:pStyle w:val="BodyText"/>
              <w:rPr>
                <w:lang w:val="en-NZ"/>
              </w:rPr>
            </w:pPr>
            <w:r w:rsidRPr="00C81AEA">
              <w:t>Materials</w:t>
            </w:r>
          </w:p>
        </w:tc>
        <w:tc>
          <w:tcPr>
            <w:tcW w:w="0" w:type="auto"/>
            <w:tcBorders>
              <w:top w:val="nil"/>
              <w:left w:val="nil"/>
              <w:bottom w:val="nil"/>
              <w:right w:val="nil"/>
            </w:tcBorders>
            <w:tcMar>
              <w:top w:w="0" w:type="dxa"/>
              <w:left w:w="62" w:type="dxa"/>
              <w:bottom w:w="0" w:type="dxa"/>
              <w:right w:w="62" w:type="dxa"/>
            </w:tcMar>
          </w:tcPr>
          <w:p w:rsidR="00000000" w:rsidP="00C81AEA">
            <w:pPr>
              <w:pStyle w:val="BodyText"/>
              <w:rPr>
                <w:lang w:val="en-NZ"/>
              </w:rPr>
            </w:pPr>
            <w:r w:rsidRPr="00C81AEA">
              <w:t>Materials associated with the use of small plant and equipment may include but are not limited to water, clays, silts, stone, gravel, mud, rock, sand, topsoil, bituminous mixes, timber, fuels and oils, power lea</w:t>
            </w:r>
            <w:r w:rsidRPr="00C81AEA">
              <w:t>ds, replacement parts and consumables</w:t>
            </w:r>
          </w:p>
        </w:tc>
      </w:tr>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AEA">
            <w:pPr>
              <w:pStyle w:val="BodyText"/>
              <w:rPr>
                <w:lang w:val="en-NZ"/>
              </w:rPr>
            </w:pPr>
            <w:r w:rsidRPr="00C81AEA">
              <w:t>Communications</w:t>
            </w:r>
          </w:p>
        </w:tc>
        <w:tc>
          <w:tcPr>
            <w:tcW w:w="0" w:type="auto"/>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Communications are to include but not be limited to verbal instructions and fault reporting and may include two way radio, hand signals, mobile phone, site specific instructions, written instructions or</w:t>
            </w:r>
            <w:r w:rsidRPr="00C81AEA">
              <w:t xml:space="preserve"> instructions related to job/task</w:t>
            </w:r>
          </w:p>
          <w:p w:rsidR="00000000" w:rsidRPr="00C81AEA" w:rsidP="00C81AEA">
            <w:pPr>
              <w:pStyle w:val="BodyText"/>
            </w:pPr>
            <w:r w:rsidRPr="00C81AEA">
              <w:t>On site meeting processes may include notification/ scheduling (time, place, purpose), task discussions and local coordination of procedural and operational issues</w:t>
            </w:r>
          </w:p>
          <w:p w:rsidR="00000000" w:rsidP="00C81AEA">
            <w:pPr>
              <w:pStyle w:val="BodyText"/>
              <w:rPr>
                <w:lang w:val="en-NZ"/>
              </w:rPr>
            </w:pPr>
          </w:p>
        </w:tc>
      </w:tr>
      <w:tr w:rsidTr="005E7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AEA">
            <w:pPr>
              <w:pStyle w:val="BodyText"/>
              <w:rPr>
                <w:lang w:val="en-NZ"/>
              </w:rPr>
            </w:pPr>
            <w:r w:rsidRPr="00C81AEA">
              <w:t>Information</w:t>
            </w:r>
          </w:p>
        </w:tc>
        <w:tc>
          <w:tcPr>
            <w:tcW w:w="0" w:type="auto"/>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Information sources may include but not be limited to verbal or written and graphical instructions, signage, work schedules/plans/specifications, work bulletins, charts and hand drawings, memos, material safety data sheets (MSDS) and diagrams or sketches</w:t>
            </w:r>
          </w:p>
          <w:p w:rsidR="00000000" w:rsidRPr="00C81AEA" w:rsidP="00C81AEA">
            <w:pPr>
              <w:pStyle w:val="BodyText"/>
            </w:pPr>
            <w:r w:rsidRPr="00C81AEA">
              <w:t>S</w:t>
            </w:r>
            <w:r w:rsidRPr="00C81AEA">
              <w:t>afe work procedures related to the operation of small plant and equipment on construction sites</w:t>
            </w:r>
          </w:p>
          <w:p w:rsidR="00000000" w:rsidRPr="00C81AEA" w:rsidP="00C81AEA">
            <w:pPr>
              <w:pStyle w:val="BodyText"/>
            </w:pPr>
            <w:r w:rsidRPr="00C81AEA">
              <w:t>Regulatory/legislative requirements pertaining to small plant and equipment operations and the environment</w:t>
            </w:r>
          </w:p>
          <w:p w:rsidR="00000000" w:rsidRPr="00C81AEA" w:rsidP="00C81AEA">
            <w:pPr>
              <w:pStyle w:val="BodyText"/>
            </w:pPr>
            <w:r w:rsidRPr="00C81AEA">
              <w:t>Manufacturers’ specifications and instructions</w:t>
            </w:r>
          </w:p>
          <w:p w:rsidR="00000000" w:rsidRPr="00C81AEA" w:rsidP="00C81AEA">
            <w:pPr>
              <w:pStyle w:val="BodyText"/>
            </w:pPr>
            <w:r w:rsidRPr="00C81AEA">
              <w:t>Organi</w:t>
            </w:r>
            <w:r w:rsidRPr="00C81AEA">
              <w:t>sation work specifications and requirements. Instructions issued by authorised organisational or external personnel</w:t>
            </w:r>
          </w:p>
          <w:p w:rsidR="00000000" w:rsidRPr="00C81AEA" w:rsidP="00C81AEA">
            <w:pPr>
              <w:pStyle w:val="BodyText"/>
            </w:pPr>
            <w:r w:rsidRPr="00C81AEA">
              <w:t>Relevant Australian Standards</w:t>
            </w:r>
          </w:p>
        </w:tc>
      </w:tr>
    </w:tbl>
    <w:p w:rsidR="00000000" w:rsidRPr="00C81AEA" w:rsidP="00C81AEA">
      <w:pPr>
        <w:pStyle w:val="BodyText"/>
      </w:pPr>
    </w:p>
    <w:p w:rsidR="00000000" w:rsidRPr="00C81AEA" w:rsidP="00C81AEA"/>
    <w:p w:rsidR="00000000" w:rsidRPr="00C81AEA" w:rsidP="00C81AEA">
      <w:pPr>
        <w:sectPr w:rsidSect="00C81AEA">
          <w:headerReference w:type="default" r:id="rId12"/>
          <w:footerReference w:type="default" r:id="rId13"/>
          <w:pgSz w:w="11908" w:h="16833"/>
          <w:pgMar w:top="1700" w:right="1418" w:bottom="1700" w:left="1418" w:header="992" w:footer="992" w:gutter="0"/>
          <w:cols w:space="720"/>
          <w:noEndnote/>
          <w:docGrid w:linePitch="299"/>
        </w:sectPr>
      </w:pPr>
    </w:p>
    <w:p w:rsidR="00000000" w:rsidRPr="00C81AEA" w:rsidP="00C81AEA">
      <w:pPr>
        <w:pStyle w:val="Heading1"/>
      </w:pPr>
      <w:bookmarkStart w:id="4" w:name="O_384402"/>
      <w:bookmarkEnd w:id="4"/>
      <w:r w:rsidRPr="00C81AEA">
        <w:t>EVIDENCE GUIDE</w:t>
      </w:r>
    </w:p>
    <w:p w:rsidR="00000000" w:rsidRPr="00C81AEA" w:rsidP="00C81AEA">
      <w:pPr>
        <w:pStyle w:val="BodyText"/>
      </w:pPr>
      <w:r w:rsidRPr="00C81AEA">
        <w:t xml:space="preserve">The Evidence Guide identifies </w:t>
      </w:r>
      <w:r w:rsidRPr="00C81AEA">
        <w:t>the critical aspects, knowledge and skills to be demonstrated to confirm competency for this unit. This is an integral part of the assessment of competency and should be read in conjunction with the Performance Criteria, the Range Statement, and the Assess</w:t>
      </w:r>
      <w:r w:rsidRPr="00C81AEA">
        <w:t>ment Guidelines of the Training Package.</w:t>
      </w:r>
    </w:p>
    <w:tbl>
      <w:tblPr>
        <w:tblW w:w="9510" w:type="dxa"/>
        <w:tblLayout w:type="fixed"/>
        <w:tblCellMar>
          <w:left w:w="62" w:type="dxa"/>
          <w:right w:w="62" w:type="dxa"/>
        </w:tblCellMar>
        <w:tblLook w:val="0000"/>
      </w:tblPr>
      <w:tblGrid>
        <w:gridCol w:w="4110"/>
        <w:gridCol w:w="5400"/>
      </w:tblGrid>
      <w:tr w:rsidTr="005E7BDD">
        <w:tblPrEx>
          <w:tblW w:w="9510" w:type="dxa"/>
          <w:tblLayout w:type="fixed"/>
          <w:tblCellMar>
            <w:left w:w="62" w:type="dxa"/>
            <w:right w:w="62" w:type="dxa"/>
          </w:tblCellMar>
          <w:tblLook w:val="0000"/>
        </w:tblPrEx>
        <w:tc>
          <w:tcPr>
            <w:tcW w:w="4110" w:type="dxa"/>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Critical aspects of evidence required to demonstrate competency in this unit</w:t>
            </w:r>
          </w:p>
          <w:p w:rsidR="00000000">
            <w:pPr>
              <w:pStyle w:val="BodyText"/>
              <w:keepNext w:val="0"/>
              <w:keepLines w:val="0"/>
              <w:contextualSpacing w:val="0"/>
              <w:rPr>
                <w:rFonts w:ascii="Tahoma" w:hAnsi="Tahoma"/>
                <w:color w:val="000000"/>
                <w:sz w:val="20"/>
                <w:lang w:val="en-NZ"/>
              </w:rPr>
            </w:pPr>
          </w:p>
        </w:tc>
        <w:tc>
          <w:tcPr>
            <w:tcW w:w="5400" w:type="dxa"/>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Location, interpretation and application of relevant information, standards and specifications</w:t>
            </w:r>
          </w:p>
          <w:p w:rsidR="00000000" w:rsidRPr="00C81AEA" w:rsidP="00C81AEA">
            <w:pPr>
              <w:pStyle w:val="BodyText"/>
            </w:pPr>
            <w:r w:rsidRPr="00C81AEA">
              <w:t>Compliance with site safety plan, OH&amp;S reg</w:t>
            </w:r>
            <w:r w:rsidRPr="00C81AEA">
              <w:t>ulations and State/Territory legislation applicable to workplace operations</w:t>
            </w:r>
          </w:p>
          <w:p w:rsidR="00000000" w:rsidRPr="00C81AEA" w:rsidP="00C81AEA">
            <w:pPr>
              <w:pStyle w:val="BodyText"/>
            </w:pPr>
            <w:r w:rsidRPr="00C81AEA">
              <w:t>Compliance with organisational policies and procedures including quality requirements</w:t>
            </w:r>
          </w:p>
          <w:p w:rsidR="00000000" w:rsidRPr="00C81AEA" w:rsidP="00C81AEA">
            <w:pPr>
              <w:pStyle w:val="BodyText"/>
            </w:pPr>
            <w:r w:rsidRPr="00C81AEA">
              <w:t>The completion of realistic site based tasks using at least one small plant item from two diff</w:t>
            </w:r>
            <w:r w:rsidRPr="00C81AEA">
              <w:t>erent categories listed in the unit scope.</w:t>
            </w:r>
          </w:p>
          <w:p w:rsidR="00000000" w:rsidRPr="00C81AEA" w:rsidP="00C81AEA">
            <w:pPr>
              <w:pStyle w:val="BodyText"/>
            </w:pPr>
            <w:r w:rsidRPr="00C81AEA">
              <w:t>The application of emergency procedures</w:t>
            </w:r>
          </w:p>
          <w:p w:rsidR="00000000" w:rsidRPr="00C81AEA" w:rsidP="00C81AEA">
            <w:pPr>
              <w:pStyle w:val="BodyText"/>
            </w:pPr>
            <w:r w:rsidRPr="00C81AEA">
              <w:t>The conduct of authorised operator maintenance</w:t>
            </w:r>
          </w:p>
          <w:p w:rsidR="00000000" w:rsidP="00C81AEA">
            <w:pPr>
              <w:pStyle w:val="BodyText"/>
              <w:rPr>
                <w:lang w:val="en-NZ"/>
              </w:rPr>
            </w:pPr>
            <w:r w:rsidRPr="00C81AEA">
              <w:t>Communication and working effectively and safely with others</w:t>
            </w:r>
          </w:p>
        </w:tc>
      </w:tr>
      <w:tr w:rsidTr="005E7BDD">
        <w:tblPrEx>
          <w:tblW w:w="9510" w:type="dxa"/>
          <w:tblLayout w:type="fixed"/>
          <w:tblCellMar>
            <w:left w:w="62" w:type="dxa"/>
            <w:right w:w="62" w:type="dxa"/>
          </w:tblCellMar>
          <w:tblLook w:val="0000"/>
        </w:tblPrEx>
        <w:tc>
          <w:tcPr>
            <w:tcW w:w="4110" w:type="dxa"/>
            <w:tcBorders>
              <w:top w:val="nil"/>
              <w:left w:val="nil"/>
              <w:bottom w:val="nil"/>
              <w:right w:val="nil"/>
            </w:tcBorders>
            <w:tcMar>
              <w:top w:w="0" w:type="dxa"/>
              <w:left w:w="62" w:type="dxa"/>
              <w:bottom w:w="0" w:type="dxa"/>
              <w:right w:w="62" w:type="dxa"/>
            </w:tcMar>
          </w:tcPr>
          <w:p w:rsidR="00000000" w:rsidP="00C81AEA">
            <w:pPr>
              <w:pStyle w:val="BodyText"/>
              <w:rPr>
                <w:lang w:val="en-NZ"/>
              </w:rPr>
            </w:pPr>
            <w:r w:rsidRPr="00C81AEA">
              <w:t>Relationship to other units</w:t>
            </w:r>
          </w:p>
        </w:tc>
        <w:tc>
          <w:tcPr>
            <w:tcW w:w="5400" w:type="dxa"/>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Pre-requisite units are:</w:t>
            </w:r>
          </w:p>
          <w:p w:rsidR="00000000" w:rsidRPr="00C81AEA" w:rsidP="00C81AEA">
            <w:pPr>
              <w:pStyle w:val="BodyText"/>
            </w:pPr>
            <w:r w:rsidRPr="00C81AEA">
              <w:t>BCCCM1001C Follow OH&amp;S policies and procedures</w:t>
            </w:r>
          </w:p>
          <w:p w:rsidR="00000000" w:rsidP="00C81AEA">
            <w:pPr>
              <w:pStyle w:val="BodyText"/>
              <w:rPr>
                <w:lang w:val="en-NZ"/>
              </w:rPr>
            </w:pPr>
            <w:r w:rsidRPr="00C81AEA">
              <w:t>Competency in this unit may be assessed in conjunction with other functional units which together form part of the holistic work role</w:t>
            </w:r>
          </w:p>
        </w:tc>
      </w:tr>
      <w:tr w:rsidTr="005E7BDD">
        <w:tblPrEx>
          <w:tblW w:w="9510" w:type="dxa"/>
          <w:tblLayout w:type="fixed"/>
          <w:tblCellMar>
            <w:left w:w="62" w:type="dxa"/>
            <w:right w:w="62" w:type="dxa"/>
          </w:tblCellMar>
          <w:tblLook w:val="0000"/>
        </w:tblPrEx>
        <w:tc>
          <w:tcPr>
            <w:tcW w:w="4110" w:type="dxa"/>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Specific knowledge required to achieve the performance criteria</w:t>
            </w:r>
          </w:p>
          <w:p w:rsidR="00000000">
            <w:pPr>
              <w:pStyle w:val="BodyText"/>
              <w:keepNext w:val="0"/>
              <w:keepLines w:val="0"/>
              <w:contextualSpacing w:val="0"/>
              <w:rPr>
                <w:rFonts w:ascii="Tahoma" w:hAnsi="Tahoma"/>
                <w:color w:val="000000"/>
                <w:sz w:val="20"/>
                <w:lang w:val="en-NZ"/>
              </w:rPr>
            </w:pPr>
          </w:p>
        </w:tc>
        <w:tc>
          <w:tcPr>
            <w:tcW w:w="5400" w:type="dxa"/>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A knowled</w:t>
            </w:r>
            <w:r w:rsidRPr="00C81AEA">
              <w:t>ge of</w:t>
            </w:r>
          </w:p>
          <w:p w:rsidR="00000000" w:rsidRPr="00C81AEA" w:rsidP="00C81AEA">
            <w:pPr>
              <w:pStyle w:val="ListBullet2"/>
            </w:pPr>
            <w:r w:rsidRPr="00C81AEA">
              <w:t>-Small plant and equipment types, characteristics, technical capabilities and limitations</w:t>
            </w:r>
          </w:p>
          <w:p w:rsidR="00000000" w:rsidRPr="00C81AEA" w:rsidP="00C81AEA">
            <w:pPr>
              <w:pStyle w:val="ListBullet2"/>
            </w:pPr>
            <w:r w:rsidRPr="00C81AEA">
              <w:t>Basic soil types and characteristics</w:t>
            </w:r>
          </w:p>
          <w:p w:rsidR="00000000" w:rsidRPr="00C81AEA" w:rsidP="00C81AEA">
            <w:pPr>
              <w:pStyle w:val="ListBullet2"/>
            </w:pPr>
            <w:r w:rsidRPr="00C81AEA">
              <w:t>Site and equipment safety requirements</w:t>
            </w:r>
          </w:p>
          <w:p w:rsidR="00000000" w:rsidRPr="00C81AEA" w:rsidP="00C81AEA">
            <w:pPr>
              <w:pStyle w:val="ListBullet2"/>
            </w:pPr>
            <w:r w:rsidRPr="00C81AEA">
              <w:t>Small plant and equipment operating techniques related to essential tasks</w:t>
            </w:r>
          </w:p>
          <w:p w:rsidR="00000000" w:rsidRPr="00C81AEA" w:rsidP="00C81AEA">
            <w:pPr>
              <w:pStyle w:val="ListBullet2"/>
            </w:pPr>
            <w:r w:rsidRPr="00C81AEA">
              <w:t>Processes for interpreting engineering drawings and sketches</w:t>
            </w:r>
          </w:p>
          <w:p w:rsidR="00000000" w:rsidRPr="00C81AEA" w:rsidP="00C81AEA">
            <w:pPr>
              <w:pStyle w:val="ListBullet2"/>
            </w:pPr>
            <w:r w:rsidRPr="00C81AEA">
              <w:t>Operational, maintenance and basic diagnostic procedures</w:t>
            </w:r>
          </w:p>
          <w:p w:rsidR="00000000" w:rsidRPr="00C81AEA" w:rsidP="00C81AEA">
            <w:pPr>
              <w:pStyle w:val="ListBullet2"/>
            </w:pPr>
            <w:r w:rsidRPr="00C81AEA">
              <w:t>Site isolation and traffic control responsibilities and authorities</w:t>
            </w:r>
          </w:p>
          <w:p w:rsidR="00000000" w:rsidRPr="00C81AEA" w:rsidP="00C81AEA">
            <w:pPr>
              <w:pStyle w:val="ListBullet2"/>
            </w:pPr>
            <w:r w:rsidRPr="00C81AEA">
              <w:t>Materials Safety Data Sheets and materials handling methods</w:t>
            </w:r>
          </w:p>
          <w:p w:rsidR="00000000" w:rsidRPr="00C81AEA" w:rsidP="00C81AEA">
            <w:pPr>
              <w:pStyle w:val="ListBullet2"/>
            </w:pPr>
            <w:r w:rsidRPr="00C81AEA">
              <w:t>Project qu</w:t>
            </w:r>
            <w:r w:rsidRPr="00C81AEA">
              <w:t>ality requirements</w:t>
            </w:r>
          </w:p>
          <w:p w:rsidR="00000000" w:rsidRPr="00C81AEA" w:rsidP="00C81AEA">
            <w:pPr>
              <w:pStyle w:val="ListBullet2"/>
            </w:pPr>
            <w:r w:rsidRPr="00C81AEA">
              <w:t>Civil construction terminology</w:t>
            </w:r>
          </w:p>
          <w:p w:rsidR="00000000" w:rsidRPr="00C81AEA" w:rsidP="00C81AEA">
            <w:pPr>
              <w:pStyle w:val="ListBullet2"/>
            </w:pPr>
            <w:r w:rsidRPr="00C81AEA">
              <w:t>Processes for compaction of concrete, soils and granular materials</w:t>
            </w:r>
          </w:p>
          <w:p w:rsidR="00000000" w:rsidP="00C81AEA">
            <w:pPr>
              <w:pStyle w:val="ListBullet2"/>
              <w:rPr>
                <w:lang w:val="en-NZ"/>
              </w:rPr>
            </w:pPr>
            <w:r w:rsidRPr="00C81AEA">
              <w:t>JSA’s/Safe work method statement</w:t>
            </w:r>
          </w:p>
        </w:tc>
      </w:tr>
      <w:tr w:rsidTr="005E7BDD">
        <w:tblPrEx>
          <w:tblW w:w="9510" w:type="dxa"/>
          <w:tblLayout w:type="fixed"/>
          <w:tblCellMar>
            <w:left w:w="62" w:type="dxa"/>
            <w:right w:w="62" w:type="dxa"/>
          </w:tblCellMar>
          <w:tblLook w:val="0000"/>
        </w:tblPrEx>
        <w:tc>
          <w:tcPr>
            <w:tcW w:w="4110" w:type="dxa"/>
            <w:tcBorders>
              <w:top w:val="nil"/>
              <w:left w:val="nil"/>
              <w:bottom w:val="nil"/>
              <w:right w:val="nil"/>
            </w:tcBorders>
            <w:tcMar>
              <w:top w:w="0" w:type="dxa"/>
              <w:left w:w="62" w:type="dxa"/>
              <w:bottom w:w="0" w:type="dxa"/>
              <w:right w:w="62" w:type="dxa"/>
            </w:tcMar>
          </w:tcPr>
          <w:p w:rsidR="00000000" w:rsidP="00C81AEA">
            <w:pPr>
              <w:pStyle w:val="BodyText"/>
              <w:rPr>
                <w:lang w:val="en-NZ"/>
              </w:rPr>
            </w:pPr>
            <w:r w:rsidRPr="00C81AEA">
              <w:t>The context of assessment</w:t>
            </w:r>
          </w:p>
        </w:tc>
        <w:tc>
          <w:tcPr>
            <w:tcW w:w="5400" w:type="dxa"/>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The application of competency is to be assessed in the workplace or realistical</w:t>
            </w:r>
            <w:r w:rsidRPr="00C81AEA">
              <w:t>ly simulated construction site</w:t>
            </w:r>
          </w:p>
          <w:p w:rsidR="00000000" w:rsidRPr="00C81AEA" w:rsidP="00C81AEA">
            <w:pPr>
              <w:pStyle w:val="BodyText"/>
            </w:pPr>
            <w:r w:rsidRPr="00C81AEA">
              <w:t>Assessment is to occur under standard and authorised work practices, safety requirements and environmental constraints</w:t>
            </w:r>
          </w:p>
          <w:p w:rsidR="00000000" w:rsidRPr="00C81AEA" w:rsidP="00C81AEA">
            <w:pPr>
              <w:pStyle w:val="BodyText"/>
            </w:pPr>
            <w:r w:rsidRPr="00C81AEA">
              <w:t>Assessment of essential underpinning knowledge, other than confirmatory questions, will usually be conduct</w:t>
            </w:r>
            <w:r w:rsidRPr="00C81AEA">
              <w:t>ed in an off- site context</w:t>
            </w:r>
          </w:p>
          <w:p w:rsidR="00000000" w:rsidRPr="00C81AEA" w:rsidP="00C81AEA">
            <w:pPr>
              <w:pStyle w:val="BodyText"/>
            </w:pPr>
            <w:r w:rsidRPr="00C81AEA">
              <w:t>Assessment is to comply with relevant regulatory or</w:t>
            </w:r>
          </w:p>
          <w:p w:rsidR="00000000" w:rsidP="00C81AEA">
            <w:pPr>
              <w:pStyle w:val="BodyText"/>
              <w:rPr>
                <w:lang w:val="en-NZ"/>
              </w:rPr>
            </w:pPr>
            <w:r w:rsidRPr="00C81AEA">
              <w:t>Australian Standards requirements</w:t>
            </w:r>
          </w:p>
        </w:tc>
      </w:tr>
      <w:tr w:rsidTr="005E7BDD">
        <w:tblPrEx>
          <w:tblW w:w="9510" w:type="dxa"/>
          <w:tblLayout w:type="fixed"/>
          <w:tblCellMar>
            <w:left w:w="62" w:type="dxa"/>
            <w:right w:w="62" w:type="dxa"/>
          </w:tblCellMar>
          <w:tblLook w:val="0000"/>
        </w:tblPrEx>
        <w:tc>
          <w:tcPr>
            <w:tcW w:w="4110" w:type="dxa"/>
            <w:tcBorders>
              <w:top w:val="nil"/>
              <w:left w:val="nil"/>
              <w:bottom w:val="nil"/>
              <w:right w:val="nil"/>
            </w:tcBorders>
            <w:tcMar>
              <w:top w:w="0" w:type="dxa"/>
              <w:left w:w="62" w:type="dxa"/>
              <w:bottom w:w="0" w:type="dxa"/>
              <w:right w:w="62" w:type="dxa"/>
            </w:tcMar>
          </w:tcPr>
          <w:p w:rsidR="00000000" w:rsidP="00C81AEA">
            <w:pPr>
              <w:pStyle w:val="BodyText"/>
              <w:rPr>
                <w:lang w:val="en-NZ"/>
              </w:rPr>
            </w:pPr>
            <w:r w:rsidRPr="00C81AEA">
              <w:t>Methods of assessment</w:t>
            </w:r>
          </w:p>
        </w:tc>
        <w:tc>
          <w:tcPr>
            <w:tcW w:w="5400" w:type="dxa"/>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Assessment must satisfy the endorsed assessment guidelines of the Building and Construction industry’</w:t>
            </w:r>
            <w:r w:rsidRPr="00C81AEA">
              <w:t>s Civil Construction Training Package</w:t>
            </w:r>
          </w:p>
          <w:p w:rsidR="00000000" w:rsidRPr="00C81AEA" w:rsidP="00C81AEA">
            <w:pPr>
              <w:pStyle w:val="BodyText"/>
            </w:pPr>
            <w:r w:rsidRPr="00C81AEA">
              <w:t>Assessment methods must confirm consistency and accuracy of performance together with application of underpinning knowledge</w:t>
            </w:r>
          </w:p>
          <w:p w:rsidR="00000000" w:rsidRPr="00C81AEA" w:rsidP="00C81AEA">
            <w:pPr>
              <w:pStyle w:val="BodyText"/>
            </w:pPr>
            <w:r w:rsidRPr="00C81AEA">
              <w:t>Assessment must be by direct observation of tasks, with questioning on underpinning knowledge</w:t>
            </w:r>
          </w:p>
          <w:p w:rsidR="00000000" w:rsidRPr="00C81AEA" w:rsidP="00C81AEA">
            <w:pPr>
              <w:pStyle w:val="BodyText"/>
            </w:pPr>
            <w:r w:rsidRPr="00C81AEA">
              <w:t>Assessment methods must confirm the ability to access and correctly interpret and apply the essential underpinning knowledge</w:t>
            </w:r>
          </w:p>
          <w:p w:rsidR="00000000" w:rsidRPr="00C81AEA" w:rsidP="00C81AEA">
            <w:pPr>
              <w:pStyle w:val="BodyText"/>
            </w:pPr>
            <w:r w:rsidRPr="00C81AEA">
              <w:t>Assessment may be applied under project related conditions (real or simulated) and require evidence of process</w:t>
            </w:r>
          </w:p>
          <w:p w:rsidR="00000000" w:rsidRPr="00C81AEA" w:rsidP="00C81AEA">
            <w:pPr>
              <w:pStyle w:val="BodyText"/>
            </w:pPr>
            <w:r w:rsidRPr="00C81AEA">
              <w:t>Assessment must conf</w:t>
            </w:r>
            <w:r w:rsidRPr="00C81AEA">
              <w:t>irm a reasonable inference that competency is able not only to be satisfied under the particular circumstance, but is able to be transferred to other circumstances</w:t>
            </w:r>
          </w:p>
          <w:p w:rsidR="00000000" w:rsidRPr="00C81AEA" w:rsidP="00C81AEA">
            <w:pPr>
              <w:pStyle w:val="BodyText"/>
            </w:pPr>
            <w:r w:rsidRPr="00C81AEA">
              <w:t>Assessment may be in conjunction with assessment of other units of competency, including tho</w:t>
            </w:r>
            <w:r w:rsidRPr="00C81AEA">
              <w:t>se listed above</w:t>
            </w:r>
          </w:p>
          <w:p w:rsidR="00000000" w:rsidP="00C81AEA">
            <w:pPr>
              <w:pStyle w:val="BodyText"/>
              <w:rPr>
                <w:lang w:val="en-NZ"/>
              </w:rPr>
            </w:pPr>
          </w:p>
        </w:tc>
      </w:tr>
      <w:tr w:rsidTr="005E7BDD">
        <w:tblPrEx>
          <w:tblW w:w="9510" w:type="dxa"/>
          <w:tblLayout w:type="fixed"/>
          <w:tblCellMar>
            <w:left w:w="62" w:type="dxa"/>
            <w:right w:w="62" w:type="dxa"/>
          </w:tblCellMar>
          <w:tblLook w:val="0000"/>
        </w:tblPrEx>
        <w:tc>
          <w:tcPr>
            <w:tcW w:w="4110" w:type="dxa"/>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Specific resource requirements for this unit</w:t>
            </w:r>
          </w:p>
          <w:p w:rsidR="00000000">
            <w:pPr>
              <w:pStyle w:val="BodyText"/>
              <w:keepNext w:val="0"/>
              <w:keepLines w:val="0"/>
              <w:contextualSpacing w:val="0"/>
              <w:rPr>
                <w:rFonts w:ascii="Tahoma" w:hAnsi="Tahoma"/>
                <w:color w:val="000000"/>
                <w:sz w:val="20"/>
                <w:lang w:val="en-NZ"/>
              </w:rPr>
            </w:pPr>
          </w:p>
        </w:tc>
        <w:tc>
          <w:tcPr>
            <w:tcW w:w="5400" w:type="dxa"/>
            <w:tcBorders>
              <w:top w:val="nil"/>
              <w:left w:val="nil"/>
              <w:bottom w:val="nil"/>
              <w:right w:val="nil"/>
            </w:tcBorders>
            <w:tcMar>
              <w:top w:w="0" w:type="dxa"/>
              <w:left w:w="62" w:type="dxa"/>
              <w:bottom w:w="0" w:type="dxa"/>
              <w:right w:w="62" w:type="dxa"/>
            </w:tcMar>
          </w:tcPr>
          <w:p w:rsidR="00000000" w:rsidRPr="00C81AEA" w:rsidP="00C81AEA">
            <w:pPr>
              <w:pStyle w:val="BodyText"/>
            </w:pPr>
            <w:r w:rsidRPr="00C81AEA">
              <w:t>The following resources should be made available:</w:t>
            </w:r>
          </w:p>
          <w:p w:rsidR="00000000" w:rsidRPr="00C81AEA" w:rsidP="00C81AEA">
            <w:pPr>
              <w:pStyle w:val="ListBullet2"/>
            </w:pPr>
            <w:r w:rsidRPr="00C81AEA">
              <w:t>Workplace location or simulated workplace</w:t>
            </w:r>
          </w:p>
          <w:p w:rsidR="00000000" w:rsidRPr="00C81AEA" w:rsidP="00C81AEA">
            <w:pPr>
              <w:pStyle w:val="ListBullet2"/>
            </w:pPr>
            <w:r w:rsidRPr="00C81AEA">
              <w:t>operational small plant and equipment with appropriate support materials</w:t>
            </w:r>
          </w:p>
          <w:p w:rsidR="00000000" w:rsidRPr="00C81AEA" w:rsidP="00C81AEA">
            <w:pPr>
              <w:pStyle w:val="ListBullet2"/>
            </w:pPr>
            <w:r w:rsidRPr="00C81AEA">
              <w:t>realistic tasks coverin</w:t>
            </w:r>
            <w:r w:rsidRPr="00C81AEA">
              <w:t>g the mandatory task requirements</w:t>
            </w:r>
          </w:p>
          <w:p w:rsidR="00000000" w:rsidRPr="00C81AEA" w:rsidP="00C81AEA">
            <w:pPr>
              <w:pStyle w:val="ListBullet2"/>
            </w:pPr>
            <w:r w:rsidRPr="00C81AEA">
              <w:t>maintenance materials appropriate to the small plant and equipment</w:t>
            </w:r>
          </w:p>
          <w:p w:rsidR="00000000" w:rsidRPr="00C81AEA" w:rsidP="00C81AEA">
            <w:pPr>
              <w:pStyle w:val="ListBullet2"/>
            </w:pPr>
            <w:r w:rsidRPr="00C81AEA">
              <w:t>specifications and work instructions</w:t>
            </w:r>
          </w:p>
        </w:tc>
      </w:tr>
    </w:tbl>
    <w:p w:rsidR="00000000" w:rsidRPr="00C81AEA" w:rsidP="00C81AEA">
      <w:pPr>
        <w:pStyle w:val="BodyText"/>
      </w:pPr>
    </w:p>
    <w:p w:rsidR="00000000" w:rsidRPr="00C81AEA" w:rsidP="00C81AEA"/>
    <w:sectPr w:rsidSect="00C81AEA">
      <w:headerReference w:type="default" r:id="rId14"/>
      <w:footerReference w:type="default" r:id="rId15"/>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BDD" w:rsidP="005E7BDD">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DD" w:rsidP="00C81A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7BDD" w:rsidP="00C81A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E7BDD" w:rsidP="00C81AEA">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EA" w:rsidP="00C81AEA">
    <w:pPr>
      <w:pStyle w:val="Footer"/>
      <w:framePr w:wrap="around"/>
    </w:pPr>
    <w:r>
      <w:fldChar w:fldCharType="begin"/>
    </w:r>
    <w:r>
      <w:instrText xml:space="preserve"> DOCPROPERTY  Subject  \* MERGEFORMAT </w:instrText>
    </w:r>
    <w:r>
      <w:fldChar w:fldCharType="separate"/>
    </w:r>
    <w:r w:rsidR="005E7BDD">
      <w:t>Approved</w:t>
    </w:r>
    <w:r w:rsidR="005E7BDD">
      <w:fldChar w:fldCharType="end"/>
    </w:r>
    <w:r>
      <w:tab/>
      <w:t xml:space="preserve">Page </w:t>
    </w:r>
    <w:r>
      <w:fldChar w:fldCharType="begin"/>
    </w:r>
    <w:r>
      <w:instrText xml:space="preserve"> PAGE  \* Arabic  \* MERGEFORMAT </w:instrText>
    </w:r>
    <w:r>
      <w:fldChar w:fldCharType="separate"/>
    </w:r>
    <w:r w:rsidR="005E7BDD">
      <w:rPr>
        <w:noProof/>
      </w:rPr>
      <w:t>6</w:t>
    </w:r>
    <w:r>
      <w:fldChar w:fldCharType="end"/>
    </w:r>
    <w:r>
      <w:t xml:space="preserve"> of </w:t>
    </w:r>
    <w:r>
      <w:fldChar w:fldCharType="begin"/>
    </w:r>
    <w:r>
      <w:instrText xml:space="preserve"> NUMPAGES  \* Arabic  \* MERGEFORMAT </w:instrText>
    </w:r>
    <w:r>
      <w:fldChar w:fldCharType="separate"/>
    </w:r>
    <w:r w:rsidR="005E7BDD">
      <w:rPr>
        <w:noProof/>
      </w:rPr>
      <w:t>6</w:t>
    </w:r>
    <w:r w:rsidR="005E7BDD">
      <w:rPr>
        <w:noProof/>
      </w:rPr>
      <w:fldChar w:fldCharType="end"/>
    </w:r>
  </w:p>
  <w:p w:rsidR="00C81AEA" w:rsidP="00C81AEA">
    <w:pPr>
      <w:pStyle w:val="Footer"/>
      <w:framePr w:wrap="around"/>
    </w:pPr>
    <w:r>
      <w:t xml:space="preserve">© Commonwealth of Australia, </w:t>
    </w:r>
    <w:r>
      <w:fldChar w:fldCharType="begin"/>
    </w:r>
    <w:r>
      <w:instrText xml:space="preserve"> DATE  \@ "yyyy"  \* MERGEFORMAT </w:instrText>
    </w:r>
    <w:r>
      <w:fldChar w:fldCharType="separate"/>
    </w:r>
    <w:r w:rsidR="005E7BDD">
      <w:rPr>
        <w:noProof/>
      </w:rPr>
      <w:t>2012</w:t>
    </w:r>
    <w:r>
      <w:fldChar w:fldCharType="end"/>
    </w:r>
    <w:r>
      <w:tab/>
    </w:r>
    <w:r>
      <w:fldChar w:fldCharType="begin"/>
    </w:r>
    <w:r>
      <w:instrText xml:space="preserve"> DOCPROPERTY  Author  \* MERGEFORMAT </w:instrText>
    </w:r>
    <w:r>
      <w:fldChar w:fldCharType="separate"/>
    </w:r>
    <w:r w:rsidR="005E7BDD">
      <w:t>Construction &amp; Property Services Industry Skills Council</w:t>
    </w:r>
    <w:r w:rsidR="005E7BDD">
      <w:fldChar w:fldCharType="end"/>
    </w:r>
  </w:p>
  <w:p w:rsidR="00C81AEA" w:rsidP="00C81AEA">
    <w:pPr>
      <w:pStyle w:val="Footer"/>
      <w:framePr w:wrap="around" w:hAnchor="text" w:x="285"/>
      <w:pBdr>
        <w:top w:val="nil"/>
      </w:pBdr>
      <w:rPr>
        <w:szCs w:val="24"/>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EA" w:rsidP="00C81AEA">
    <w:pPr>
      <w:pStyle w:val="Footer"/>
      <w:framePr w:wrap="around"/>
    </w:pPr>
    <w:r>
      <w:fldChar w:fldCharType="begin"/>
    </w:r>
    <w:r>
      <w:instrText xml:space="preserve"> DOCPROPERTY  Subject  \* MERGEFORMAT </w:instrText>
    </w:r>
    <w:r>
      <w:fldChar w:fldCharType="separate"/>
    </w:r>
    <w:r w:rsidR="005E7BDD">
      <w:t>Approved</w:t>
    </w:r>
    <w:r w:rsidR="005E7BDD">
      <w:fldChar w:fldCharType="end"/>
    </w:r>
    <w:r>
      <w:tab/>
      <w:t xml:space="preserve">Page </w:t>
    </w:r>
    <w:r>
      <w:fldChar w:fldCharType="begin"/>
    </w:r>
    <w:r>
      <w:instrText xml:space="preserve"> PAGE  \* Arabic  \* MERGEFORMAT </w:instrText>
    </w:r>
    <w:r>
      <w:fldChar w:fldCharType="separate"/>
    </w:r>
    <w:r w:rsidR="005E7BDD">
      <w:rPr>
        <w:noProof/>
      </w:rPr>
      <w:t>6</w:t>
    </w:r>
    <w:r>
      <w:fldChar w:fldCharType="end"/>
    </w:r>
    <w:r>
      <w:t xml:space="preserve"> of </w:t>
    </w:r>
    <w:r>
      <w:fldChar w:fldCharType="begin"/>
    </w:r>
    <w:r>
      <w:instrText xml:space="preserve"> NUMPAGES  \* Arabic  \* MERGEFORMAT </w:instrText>
    </w:r>
    <w:r>
      <w:fldChar w:fldCharType="separate"/>
    </w:r>
    <w:r w:rsidR="005E7BDD">
      <w:rPr>
        <w:noProof/>
      </w:rPr>
      <w:t>6</w:t>
    </w:r>
    <w:r w:rsidR="005E7BDD">
      <w:rPr>
        <w:noProof/>
      </w:rPr>
      <w:fldChar w:fldCharType="end"/>
    </w:r>
  </w:p>
  <w:p w:rsidR="00C81AEA" w:rsidP="00C81AEA">
    <w:pPr>
      <w:pStyle w:val="Footer"/>
      <w:framePr w:wrap="around"/>
    </w:pPr>
    <w:r>
      <w:t xml:space="preserve">© Commonwealth of Australia, </w:t>
    </w:r>
    <w:r>
      <w:fldChar w:fldCharType="begin"/>
    </w:r>
    <w:r>
      <w:instrText xml:space="preserve"> DATE  \@ "yyyy"  \* MERGEFORMAT </w:instrText>
    </w:r>
    <w:r>
      <w:fldChar w:fldCharType="separate"/>
    </w:r>
    <w:r w:rsidR="005E7BDD">
      <w:rPr>
        <w:noProof/>
      </w:rPr>
      <w:t>2012</w:t>
    </w:r>
    <w:r>
      <w:fldChar w:fldCharType="end"/>
    </w:r>
    <w:r>
      <w:tab/>
    </w:r>
    <w:r>
      <w:fldChar w:fldCharType="begin"/>
    </w:r>
    <w:r>
      <w:instrText xml:space="preserve"> DOCPROPERTY  Author  \* MERGEFORMAT </w:instrText>
    </w:r>
    <w:r>
      <w:fldChar w:fldCharType="separate"/>
    </w:r>
    <w:r w:rsidR="005E7BDD">
      <w:t>Construction &amp; Property Services Industry Skills Council</w:t>
    </w:r>
    <w:r w:rsidR="005E7BDD">
      <w:fldChar w:fldCharType="end"/>
    </w:r>
  </w:p>
  <w:p w:rsidR="00C81AEA" w:rsidP="00C81A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BDD" w:rsidP="005E7BD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DD" w:rsidP="00C81AEA">
    <w:pPr>
      <w:pStyle w:val="Header"/>
      <w:framePr w:wrap="around"/>
    </w:pPr>
    <w:r>
      <w:fldChar w:fldCharType="begin"/>
    </w:r>
    <w:r>
      <w:instrText xml:space="preserve"> TITLE   \* MERGEFORMAT </w:instrText>
    </w:r>
    <w:r>
      <w:fldChar w:fldCharType="separate"/>
    </w:r>
    <w:r>
      <w:t>BCCCM2002C Use small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7BDD" w:rsidP="00C81AEA">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EA" w:rsidP="00C81AEA">
    <w:pPr>
      <w:pStyle w:val="Header"/>
      <w:framePr w:wrap="around"/>
    </w:pPr>
    <w:r>
      <w:fldChar w:fldCharType="begin"/>
    </w:r>
    <w:r>
      <w:instrText xml:space="preserve"> TITLE   \* MERGEFORMAT </w:instrText>
    </w:r>
    <w:r>
      <w:fldChar w:fldCharType="separate"/>
    </w:r>
    <w:r w:rsidR="005E7BDD">
      <w:t>BCCCM2002C Use small plant and equipment</w:t>
    </w:r>
    <w:r w:rsidR="005E7BDD">
      <w:fldChar w:fldCharType="end"/>
    </w:r>
    <w:r>
      <w:tab/>
      <w:t xml:space="preserve">Date this document was generated: </w:t>
    </w:r>
    <w:r>
      <w:fldChar w:fldCharType="begin"/>
    </w:r>
    <w:r>
      <w:instrText xml:space="preserve"> CREATEDATE  \@ "d MMMM yyyy"  \* MERGEFORMAT </w:instrText>
    </w:r>
    <w:r>
      <w:fldChar w:fldCharType="separate"/>
    </w:r>
    <w:r w:rsidR="005E7BDD">
      <w:rPr>
        <w:noProof/>
      </w:rPr>
      <w:t>26 May 2012</w:t>
    </w:r>
    <w:r>
      <w:rPr>
        <w:noProof/>
      </w:rPr>
      <w:fldChar w:fldCharType="end"/>
    </w:r>
  </w:p>
  <w:p w:rsidR="00C81AEA" w:rsidP="00C81AEA">
    <w:pPr>
      <w:pStyle w:val="Header"/>
      <w:framePr w:wrap="around" w:hAnchor="text" w:x="285"/>
      <w:pBdr>
        <w:bottom w:val="nil"/>
      </w:pBdr>
      <w:rPr>
        <w:szCs w:val="24"/>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EA" w:rsidP="00C81AEA">
    <w:pPr>
      <w:pStyle w:val="Header"/>
      <w:framePr w:wrap="around"/>
    </w:pPr>
    <w:r>
      <w:fldChar w:fldCharType="begin"/>
    </w:r>
    <w:r>
      <w:instrText xml:space="preserve"> TITLE   \* MERGEFORMAT </w:instrText>
    </w:r>
    <w:r>
      <w:fldChar w:fldCharType="separate"/>
    </w:r>
    <w:r w:rsidR="005E7BDD">
      <w:t>BCCCM2002C Use small plant and equipment</w:t>
    </w:r>
    <w:r w:rsidR="005E7BDD">
      <w:fldChar w:fldCharType="end"/>
    </w:r>
    <w:r>
      <w:tab/>
      <w:t xml:space="preserve">Date this document was generated: </w:t>
    </w:r>
    <w:r>
      <w:fldChar w:fldCharType="begin"/>
    </w:r>
    <w:r>
      <w:instrText xml:space="preserve"> CREATEDATE  \@ "d MMMM yyyy"  \* MERGEFORMAT </w:instrText>
    </w:r>
    <w:r>
      <w:fldChar w:fldCharType="separate"/>
    </w:r>
    <w:r w:rsidR="005E7BDD">
      <w:rPr>
        <w:noProof/>
      </w:rPr>
      <w:t>26 May 2012</w:t>
    </w:r>
    <w:r>
      <w:rPr>
        <w:noProof/>
      </w:rPr>
      <w:fldChar w:fldCharType="end"/>
    </w:r>
  </w:p>
  <w:p w:rsidR="00C81AEA" w:rsidP="00C81A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5E5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640E5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A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1AEA"/>
    <w:pPr>
      <w:spacing w:before="360" w:after="60"/>
      <w:outlineLvl w:val="0"/>
    </w:pPr>
    <w:rPr>
      <w:sz w:val="32"/>
    </w:rPr>
  </w:style>
  <w:style w:type="paragraph" w:styleId="Heading2">
    <w:name w:val="heading 2"/>
    <w:basedOn w:val="HeadingBase"/>
    <w:next w:val="BodyText"/>
    <w:link w:val="Heading2Char"/>
    <w:qFormat/>
    <w:rsid w:val="00C81AEA"/>
    <w:pPr>
      <w:keepLines/>
      <w:spacing w:before="240" w:after="120"/>
      <w:outlineLvl w:val="1"/>
    </w:pPr>
    <w:rPr>
      <w:sz w:val="28"/>
      <w:szCs w:val="40"/>
    </w:rPr>
  </w:style>
  <w:style w:type="paragraph" w:styleId="Heading3">
    <w:name w:val="heading 3"/>
    <w:basedOn w:val="HeadingBase"/>
    <w:next w:val="BodyText"/>
    <w:link w:val="Heading3Char"/>
    <w:qFormat/>
    <w:rsid w:val="00C81AEA"/>
    <w:pPr>
      <w:spacing w:before="180" w:after="120"/>
      <w:outlineLvl w:val="2"/>
    </w:pPr>
    <w:rPr>
      <w:spacing w:val="-10"/>
      <w:kern w:val="32"/>
    </w:rPr>
  </w:style>
  <w:style w:type="paragraph" w:styleId="Heading4">
    <w:name w:val="heading 4"/>
    <w:basedOn w:val="HeadingBase"/>
    <w:next w:val="BodyText"/>
    <w:link w:val="Heading4Char"/>
    <w:qFormat/>
    <w:rsid w:val="00C81AEA"/>
    <w:pPr>
      <w:spacing w:before="160" w:after="120"/>
      <w:outlineLvl w:val="3"/>
    </w:pPr>
    <w:rPr>
      <w:sz w:val="22"/>
    </w:rPr>
  </w:style>
  <w:style w:type="paragraph" w:styleId="Heading5">
    <w:name w:val="heading 5"/>
    <w:basedOn w:val="HeadingBase"/>
    <w:next w:val="Normal"/>
    <w:link w:val="Heading5Char"/>
    <w:qFormat/>
    <w:rsid w:val="00C81AEA"/>
    <w:pPr>
      <w:spacing w:before="80"/>
      <w:outlineLvl w:val="4"/>
    </w:pPr>
    <w:rPr>
      <w:color w:val="918585"/>
      <w:sz w:val="20"/>
    </w:rPr>
  </w:style>
  <w:style w:type="paragraph" w:styleId="Heading6">
    <w:name w:val="heading 6"/>
    <w:basedOn w:val="HeadingBase"/>
    <w:next w:val="Normal"/>
    <w:link w:val="Heading6Char"/>
    <w:qFormat/>
    <w:rsid w:val="00C81AEA"/>
    <w:pPr>
      <w:spacing w:before="60"/>
      <w:outlineLvl w:val="5"/>
    </w:pPr>
    <w:rPr>
      <w:color w:val="918585"/>
      <w:sz w:val="20"/>
    </w:rPr>
  </w:style>
  <w:style w:type="paragraph" w:styleId="Heading7">
    <w:name w:val="heading 7"/>
    <w:basedOn w:val="Normal"/>
    <w:next w:val="Normal"/>
    <w:link w:val="Heading7Char"/>
    <w:qFormat/>
    <w:rsid w:val="00C81AEA"/>
    <w:pPr>
      <w:ind w:left="720"/>
      <w:outlineLvl w:val="6"/>
    </w:pPr>
    <w:rPr>
      <w:i/>
    </w:rPr>
  </w:style>
  <w:style w:type="paragraph" w:styleId="Heading8">
    <w:name w:val="heading 8"/>
    <w:basedOn w:val="Normal"/>
    <w:next w:val="Normal"/>
    <w:link w:val="Heading8Char"/>
    <w:qFormat/>
    <w:rsid w:val="00C81AEA"/>
    <w:pPr>
      <w:ind w:left="720"/>
      <w:outlineLvl w:val="7"/>
    </w:pPr>
    <w:rPr>
      <w:i/>
    </w:rPr>
  </w:style>
  <w:style w:type="paragraph" w:styleId="Heading9">
    <w:name w:val="heading 9"/>
    <w:basedOn w:val="Normal"/>
    <w:next w:val="Normal"/>
    <w:link w:val="Heading9Char"/>
    <w:qFormat/>
    <w:rsid w:val="00C81AEA"/>
    <w:pPr>
      <w:ind w:left="720"/>
      <w:outlineLvl w:val="8"/>
    </w:pPr>
    <w:rPr>
      <w:i/>
    </w:rPr>
  </w:style>
  <w:style w:type="character" w:default="1" w:styleId="DefaultParagraphFont">
    <w:name w:val="Default Paragraph Font"/>
    <w:uiPriority w:val="1"/>
    <w:unhideWhenUsed/>
    <w:rsid w:val="00C81A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AEA"/>
  </w:style>
  <w:style w:type="character" w:customStyle="1" w:styleId="Heading1Char">
    <w:name w:val="Heading 1 Char"/>
    <w:link w:val="Heading1"/>
    <w:rsid w:val="00C81AEA"/>
    <w:rPr>
      <w:rFonts w:ascii="Times New Roman" w:eastAsia="Times New Roman" w:hAnsi="Times New Roman" w:cs="Times New Roman"/>
      <w:b/>
      <w:sz w:val="32"/>
      <w:szCs w:val="20"/>
      <w:lang w:eastAsia="en-US"/>
    </w:rPr>
  </w:style>
  <w:style w:type="character" w:customStyle="1" w:styleId="Heading2Char">
    <w:name w:val="Heading 2 Char"/>
    <w:link w:val="Heading2"/>
    <w:rsid w:val="00C81AEA"/>
    <w:rPr>
      <w:rFonts w:ascii="Times New Roman" w:eastAsia="Times New Roman" w:hAnsi="Times New Roman" w:cs="Times New Roman"/>
      <w:b/>
      <w:sz w:val="28"/>
      <w:szCs w:val="40"/>
      <w:lang w:eastAsia="en-US"/>
    </w:rPr>
  </w:style>
  <w:style w:type="paragraph" w:styleId="BodyText">
    <w:name w:val="Body Text"/>
    <w:basedOn w:val="Normal"/>
    <w:link w:val="BodyTextChar"/>
    <w:rsid w:val="00C81AEA"/>
    <w:pPr>
      <w:spacing w:before="120" w:after="120"/>
      <w:contextualSpacing/>
    </w:pPr>
    <w:rPr>
      <w:rFonts w:ascii="Times New Roman" w:hAnsi="Times New Roman"/>
      <w:sz w:val="24"/>
      <w:szCs w:val="22"/>
    </w:rPr>
  </w:style>
  <w:style w:type="character" w:customStyle="1" w:styleId="BodyTextChar">
    <w:name w:val="Body Text Char"/>
    <w:link w:val="BodyText"/>
    <w:rsid w:val="00C81AEA"/>
    <w:rPr>
      <w:rFonts w:ascii="Times New Roman" w:eastAsia="Times New Roman" w:hAnsi="Times New Roman" w:cs="Times New Roman"/>
      <w:sz w:val="24"/>
      <w:lang w:val="en-US" w:eastAsia="en-US"/>
    </w:rPr>
  </w:style>
  <w:style w:type="paragraph" w:styleId="Footer">
    <w:name w:val="footer"/>
    <w:basedOn w:val="Normal"/>
    <w:link w:val="FooterChar"/>
    <w:rsid w:val="00C81A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81AEA"/>
    <w:rPr>
      <w:rFonts w:ascii="Times New Roman" w:eastAsia="Times New Roman" w:hAnsi="Times New Roman" w:cs="Times New Roman"/>
      <w:sz w:val="16"/>
      <w:lang w:val="en-US" w:eastAsia="en-US"/>
    </w:rPr>
  </w:style>
  <w:style w:type="paragraph" w:styleId="List">
    <w:name w:val="List"/>
    <w:basedOn w:val="BodyText"/>
    <w:next w:val="BodyText"/>
    <w:rsid w:val="00C81AEA"/>
    <w:pPr>
      <w:tabs>
        <w:tab w:val="left" w:pos="340"/>
      </w:tabs>
      <w:spacing w:before="60" w:after="60"/>
      <w:ind w:left="340" w:hanging="340"/>
    </w:pPr>
  </w:style>
  <w:style w:type="paragraph" w:styleId="ListBullet2">
    <w:name w:val="List Bullet 2"/>
    <w:basedOn w:val="List2"/>
    <w:rsid w:val="00C81AEA"/>
    <w:pPr>
      <w:numPr>
        <w:numId w:val="13"/>
      </w:numPr>
      <w:tabs>
        <w:tab w:val="clear" w:pos="680"/>
      </w:tabs>
    </w:pPr>
  </w:style>
  <w:style w:type="paragraph" w:styleId="Header">
    <w:name w:val="header"/>
    <w:basedOn w:val="Normal"/>
    <w:link w:val="HeaderChar"/>
    <w:rsid w:val="00C81A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81AEA"/>
    <w:rPr>
      <w:rFonts w:ascii="Times New Roman" w:eastAsia="Times New Roman" w:hAnsi="Times New Roman" w:cs="Times New Roman"/>
      <w:sz w:val="16"/>
      <w:szCs w:val="20"/>
      <w:lang w:val="en-GB" w:eastAsia="en-US"/>
    </w:rPr>
  </w:style>
  <w:style w:type="paragraph" w:customStyle="1" w:styleId="AllowPageBreak">
    <w:name w:val="AllowPageBreak"/>
    <w:rsid w:val="00C81A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link w:val="Heading3"/>
    <w:rsid w:val="00C81AE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81AEA"/>
    <w:rPr>
      <w:rFonts w:ascii="Times New Roman" w:eastAsia="Times New Roman" w:hAnsi="Times New Roman" w:cs="Times New Roman"/>
      <w:b/>
      <w:szCs w:val="20"/>
      <w:lang w:eastAsia="en-US"/>
    </w:rPr>
  </w:style>
  <w:style w:type="character" w:customStyle="1" w:styleId="Heading5Char">
    <w:name w:val="Heading 5 Char"/>
    <w:link w:val="Heading5"/>
    <w:rsid w:val="00C81AE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81A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A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1A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1AEA"/>
    <w:rPr>
      <w:rFonts w:ascii="Courier New" w:eastAsia="Times New Roman" w:hAnsi="Courier New" w:cs="Times New Roman"/>
      <w:i/>
      <w:szCs w:val="20"/>
      <w:lang w:val="en-US" w:eastAsia="en-US"/>
    </w:rPr>
  </w:style>
  <w:style w:type="paragraph" w:customStyle="1" w:styleId="HeadingBase">
    <w:name w:val="Heading Base"/>
    <w:rsid w:val="00C81A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AEA"/>
    <w:pPr>
      <w:tabs>
        <w:tab w:val="right" w:leader="dot" w:pos="9072"/>
      </w:tabs>
      <w:ind w:left="567"/>
    </w:pPr>
    <w:rPr>
      <w:szCs w:val="22"/>
    </w:rPr>
  </w:style>
  <w:style w:type="paragraph" w:customStyle="1" w:styleId="TOCBase">
    <w:name w:val="TOC Base"/>
    <w:rsid w:val="00C81A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AEA"/>
    <w:pPr>
      <w:tabs>
        <w:tab w:val="right" w:leader="dot" w:pos="9072"/>
      </w:tabs>
      <w:spacing w:before="40" w:after="40"/>
      <w:ind w:left="284"/>
    </w:pPr>
    <w:rPr>
      <w:rFonts w:ascii="Times New Roman" w:hAnsi="Times New Roman"/>
    </w:rPr>
  </w:style>
  <w:style w:type="paragraph" w:styleId="TOC1">
    <w:name w:val="toc 1"/>
    <w:basedOn w:val="TOCBase"/>
    <w:next w:val="Normal"/>
    <w:rsid w:val="00C81A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1AEA"/>
    <w:pPr>
      <w:spacing w:before="5040"/>
      <w:jc w:val="center"/>
    </w:pPr>
    <w:rPr>
      <w:sz w:val="48"/>
      <w:szCs w:val="72"/>
      <w:lang w:val="en-US"/>
    </w:rPr>
  </w:style>
  <w:style w:type="character" w:customStyle="1" w:styleId="TitleChar">
    <w:name w:val="Title Char"/>
    <w:link w:val="Title"/>
    <w:rsid w:val="00C81A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AEA"/>
    <w:pPr>
      <w:tabs>
        <w:tab w:val="left" w:pos="3600"/>
        <w:tab w:val="left" w:pos="3958"/>
      </w:tabs>
    </w:pPr>
  </w:style>
  <w:style w:type="paragraph" w:styleId="ListBullet">
    <w:name w:val="List Bullet"/>
    <w:basedOn w:val="List"/>
    <w:rsid w:val="00C81AEA"/>
    <w:pPr>
      <w:numPr>
        <w:numId w:val="12"/>
      </w:numPr>
      <w:tabs>
        <w:tab w:val="clear" w:pos="340"/>
      </w:tabs>
      <w:spacing w:before="40" w:after="40"/>
    </w:pPr>
  </w:style>
  <w:style w:type="paragraph" w:customStyle="1" w:styleId="Note">
    <w:name w:val="Note"/>
    <w:basedOn w:val="BodyText"/>
    <w:rsid w:val="00C81A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C81AEA"/>
    <w:rPr>
      <w:b/>
      <w:spacing w:val="0"/>
    </w:rPr>
  </w:style>
  <w:style w:type="paragraph" w:customStyle="1" w:styleId="SuperTitle">
    <w:name w:val="SuperTitle"/>
    <w:basedOn w:val="Title"/>
    <w:rsid w:val="00C81AEA"/>
    <w:pPr>
      <w:framePr w:wrap="auto" w:hAnchor="text" w:y="6049"/>
    </w:pPr>
    <w:rPr>
      <w:color w:val="000000"/>
      <w:sz w:val="40"/>
    </w:rPr>
  </w:style>
  <w:style w:type="paragraph" w:customStyle="1" w:styleId="TOCTitle">
    <w:name w:val="TOCTitle"/>
    <w:basedOn w:val="Heading1"/>
    <w:rsid w:val="00C81AEA"/>
    <w:pPr>
      <w:spacing w:after="240"/>
      <w:jc w:val="center"/>
      <w:outlineLvl w:val="9"/>
    </w:pPr>
    <w:rPr>
      <w:caps/>
    </w:rPr>
  </w:style>
  <w:style w:type="paragraph" w:customStyle="1" w:styleId="Version">
    <w:name w:val="Version"/>
    <w:rsid w:val="00C81A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AEA"/>
    <w:pPr>
      <w:keepNext w:val="0"/>
      <w:tabs>
        <w:tab w:val="right" w:pos="4176"/>
      </w:tabs>
      <w:ind w:left="198" w:hanging="198"/>
    </w:pPr>
    <w:rPr>
      <w:rFonts w:ascii="Garamond" w:hAnsi="Garamond"/>
    </w:rPr>
  </w:style>
  <w:style w:type="paragraph" w:styleId="IndexHeading">
    <w:name w:val="index heading"/>
    <w:basedOn w:val="Normal"/>
    <w:next w:val="Index1"/>
    <w:semiHidden/>
    <w:rsid w:val="00C81AEA"/>
    <w:pPr>
      <w:spacing w:before="120" w:after="120"/>
    </w:pPr>
    <w:rPr>
      <w:rFonts w:ascii="Arial" w:hAnsi="Arial"/>
      <w:b/>
      <w:color w:val="918585"/>
      <w:sz w:val="24"/>
    </w:rPr>
  </w:style>
  <w:style w:type="paragraph" w:customStyle="1" w:styleId="Chapter">
    <w:name w:val="Chapter"/>
    <w:basedOn w:val="Normal"/>
    <w:rsid w:val="00C81AEA"/>
    <w:pPr>
      <w:spacing w:before="240"/>
    </w:pPr>
    <w:rPr>
      <w:rFonts w:ascii="Times New Roman" w:hAnsi="Times New Roman"/>
      <w:smallCaps/>
      <w:spacing w:val="80"/>
      <w:sz w:val="28"/>
    </w:rPr>
  </w:style>
  <w:style w:type="paragraph" w:customStyle="1" w:styleId="InChapter">
    <w:name w:val="InChapter"/>
    <w:basedOn w:val="Heading3"/>
    <w:rsid w:val="00C81AEA"/>
    <w:pPr>
      <w:spacing w:after="240"/>
      <w:outlineLvl w:val="9"/>
    </w:pPr>
    <w:rPr>
      <w:noProof/>
    </w:rPr>
  </w:style>
  <w:style w:type="paragraph" w:styleId="Index2">
    <w:name w:val="index 2"/>
    <w:basedOn w:val="Normal"/>
    <w:next w:val="Normal"/>
    <w:semiHidden/>
    <w:rsid w:val="00C81AEA"/>
    <w:pPr>
      <w:tabs>
        <w:tab w:val="right" w:pos="4176"/>
      </w:tabs>
      <w:ind w:left="568" w:hanging="284"/>
    </w:pPr>
    <w:rPr>
      <w:rFonts w:ascii="Garamond" w:hAnsi="Garamond"/>
    </w:rPr>
  </w:style>
  <w:style w:type="paragraph" w:customStyle="1" w:styleId="Byline">
    <w:name w:val="Byline"/>
    <w:rsid w:val="00C81A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AEA"/>
    <w:pPr>
      <w:tabs>
        <w:tab w:val="clear" w:pos="3600"/>
        <w:tab w:val="clear" w:pos="3958"/>
      </w:tabs>
      <w:jc w:val="right"/>
    </w:pPr>
  </w:style>
  <w:style w:type="character" w:styleId="Emphasis">
    <w:name w:val="Emphasis"/>
    <w:qFormat/>
    <w:rsid w:val="00C81AEA"/>
    <w:rPr>
      <w:i/>
    </w:rPr>
  </w:style>
  <w:style w:type="paragraph" w:styleId="Caption">
    <w:name w:val="caption"/>
    <w:basedOn w:val="BodyText"/>
    <w:next w:val="Normal"/>
    <w:qFormat/>
    <w:rsid w:val="00C81AEA"/>
    <w:pPr>
      <w:framePr w:w="2268" w:hSpace="181" w:vSpace="181" w:wrap="around" w:vAnchor="text" w:hAnchor="page" w:x="1135" w:y="285" w:anchorLock="1"/>
    </w:pPr>
    <w:rPr>
      <w:i/>
    </w:rPr>
  </w:style>
  <w:style w:type="paragraph" w:customStyle="1" w:styleId="MiniTOCTitle">
    <w:name w:val="MiniTOCTitle"/>
    <w:basedOn w:val="Heading4"/>
    <w:rsid w:val="00C81AEA"/>
    <w:pPr>
      <w:spacing w:before="240"/>
      <w:outlineLvl w:val="9"/>
    </w:pPr>
    <w:rPr>
      <w:noProof/>
      <w:sz w:val="24"/>
    </w:rPr>
  </w:style>
  <w:style w:type="paragraph" w:customStyle="1" w:styleId="SuperHeading">
    <w:name w:val="SuperHeading"/>
    <w:basedOn w:val="Normal"/>
    <w:rsid w:val="00C81AEA"/>
    <w:pPr>
      <w:spacing w:before="240" w:after="120"/>
      <w:outlineLvl w:val="0"/>
    </w:pPr>
    <w:rPr>
      <w:rFonts w:ascii="Times New Roman" w:hAnsi="Times New Roman"/>
      <w:b/>
      <w:sz w:val="28"/>
    </w:rPr>
  </w:style>
  <w:style w:type="paragraph" w:customStyle="1" w:styleId="MiniTOCItem">
    <w:name w:val="MiniTOCItem"/>
    <w:basedOn w:val="ListBullet"/>
    <w:rsid w:val="00C81AEA"/>
    <w:pPr>
      <w:numPr>
        <w:numId w:val="0"/>
      </w:numPr>
      <w:tabs>
        <w:tab w:val="right" w:leader="dot" w:pos="6521"/>
      </w:tabs>
      <w:spacing w:before="0" w:after="0"/>
    </w:pPr>
  </w:style>
  <w:style w:type="paragraph" w:customStyle="1" w:styleId="TOFTitle">
    <w:name w:val="TOFTitle"/>
    <w:basedOn w:val="TOCTitle"/>
    <w:rsid w:val="00C81AEA"/>
  </w:style>
  <w:style w:type="paragraph" w:styleId="TableofFigures">
    <w:name w:val="table of figures"/>
    <w:basedOn w:val="Normal"/>
    <w:next w:val="Normal"/>
    <w:semiHidden/>
    <w:rsid w:val="00C81AEA"/>
    <w:pPr>
      <w:tabs>
        <w:tab w:val="right" w:leader="dot" w:pos="9072"/>
      </w:tabs>
      <w:ind w:left="970" w:hanging="403"/>
    </w:pPr>
    <w:rPr>
      <w:rFonts w:ascii="Times New Roman" w:hAnsi="Times New Roman"/>
      <w:b/>
    </w:rPr>
  </w:style>
  <w:style w:type="paragraph" w:styleId="ListNumber">
    <w:name w:val="List Number"/>
    <w:basedOn w:val="List"/>
    <w:rsid w:val="00C81AEA"/>
    <w:pPr>
      <w:numPr>
        <w:numId w:val="10"/>
      </w:numPr>
    </w:pPr>
  </w:style>
  <w:style w:type="character" w:customStyle="1" w:styleId="WingdingSymbols">
    <w:name w:val="Wingding Symbols"/>
    <w:rsid w:val="00C81AEA"/>
    <w:rPr>
      <w:rFonts w:ascii="Wingdings" w:hAnsi="Wingdings"/>
    </w:rPr>
  </w:style>
  <w:style w:type="paragraph" w:customStyle="1" w:styleId="TableHeading">
    <w:name w:val="Table Heading"/>
    <w:basedOn w:val="HeadingBase"/>
    <w:rsid w:val="00C81AEA"/>
    <w:pPr>
      <w:keepLines/>
      <w:pBdr>
        <w:bottom w:val="single" w:sz="6" w:space="1" w:color="918585"/>
      </w:pBdr>
      <w:spacing w:before="240"/>
    </w:pPr>
  </w:style>
  <w:style w:type="character" w:customStyle="1" w:styleId="HotSpot">
    <w:name w:val="HotSpot"/>
    <w:rsid w:val="00C81AEA"/>
    <w:rPr>
      <w:color w:val="0033CC"/>
      <w:u w:val="none"/>
    </w:rPr>
  </w:style>
  <w:style w:type="paragraph" w:customStyle="1" w:styleId="BodyTextRight">
    <w:name w:val="Body Text Right"/>
    <w:basedOn w:val="BodyText"/>
    <w:rsid w:val="00C81AEA"/>
    <w:pPr>
      <w:spacing w:before="0" w:after="0"/>
      <w:jc w:val="right"/>
    </w:pPr>
  </w:style>
  <w:style w:type="paragraph" w:styleId="Index3">
    <w:name w:val="index 3"/>
    <w:basedOn w:val="ListNumber2"/>
    <w:next w:val="Normal"/>
    <w:semiHidden/>
    <w:rsid w:val="00C81AEA"/>
    <w:pPr>
      <w:numPr>
        <w:numId w:val="0"/>
      </w:numPr>
      <w:tabs>
        <w:tab w:val="right" w:leader="dot" w:pos="4176"/>
      </w:tabs>
    </w:pPr>
  </w:style>
  <w:style w:type="paragraph" w:styleId="ListNumber2">
    <w:name w:val="List Number 2"/>
    <w:basedOn w:val="List2"/>
    <w:rsid w:val="00C81AEA"/>
    <w:pPr>
      <w:numPr>
        <w:numId w:val="9"/>
      </w:numPr>
      <w:tabs>
        <w:tab w:val="clear" w:pos="1060"/>
      </w:tabs>
    </w:pPr>
  </w:style>
  <w:style w:type="paragraph" w:customStyle="1" w:styleId="MarginNote">
    <w:name w:val="Margin Note"/>
    <w:basedOn w:val="BodyText"/>
    <w:rsid w:val="00C81A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A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81A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1AEA"/>
    <w:rPr>
      <w:sz w:val="32"/>
    </w:rPr>
  </w:style>
  <w:style w:type="paragraph" w:customStyle="1" w:styleId="HeadingProcedure">
    <w:name w:val="Heading Procedure"/>
    <w:basedOn w:val="HeadingBase"/>
    <w:next w:val="Normal"/>
    <w:rsid w:val="00C81AEA"/>
    <w:pPr>
      <w:tabs>
        <w:tab w:val="left" w:pos="0"/>
      </w:tabs>
      <w:spacing w:before="120" w:after="60"/>
    </w:pPr>
    <w:rPr>
      <w:i/>
      <w:color w:val="918585"/>
      <w:sz w:val="22"/>
    </w:rPr>
  </w:style>
  <w:style w:type="paragraph" w:customStyle="1" w:styleId="TableBodyText">
    <w:name w:val="Table Body Text"/>
    <w:basedOn w:val="BodyText"/>
    <w:rsid w:val="00C81AEA"/>
    <w:pPr>
      <w:spacing w:before="60" w:after="60"/>
    </w:pPr>
  </w:style>
  <w:style w:type="paragraph" w:styleId="ListContinue">
    <w:name w:val="List Continue"/>
    <w:basedOn w:val="List"/>
    <w:rsid w:val="00C81AEA"/>
    <w:pPr>
      <w:ind w:firstLine="0"/>
    </w:pPr>
  </w:style>
  <w:style w:type="paragraph" w:customStyle="1" w:styleId="ListNote">
    <w:name w:val="List Note"/>
    <w:basedOn w:val="List"/>
    <w:rsid w:val="00C81AEA"/>
    <w:pPr>
      <w:pBdr>
        <w:top w:val="single" w:sz="6" w:space="2" w:color="918585"/>
        <w:bottom w:val="single" w:sz="6" w:space="2" w:color="918585"/>
      </w:pBdr>
      <w:tabs>
        <w:tab w:val="left" w:pos="1021"/>
      </w:tabs>
      <w:ind w:firstLine="0"/>
    </w:pPr>
  </w:style>
  <w:style w:type="paragraph" w:customStyle="1" w:styleId="Warning">
    <w:name w:val="Warning"/>
    <w:basedOn w:val="BodyText"/>
    <w:rsid w:val="00C81AEA"/>
    <w:pPr>
      <w:shd w:val="clear" w:color="auto" w:fill="D9D9D9"/>
      <w:tabs>
        <w:tab w:val="left" w:pos="992"/>
      </w:tabs>
      <w:ind w:left="119" w:right="119"/>
    </w:pPr>
    <w:rPr>
      <w:sz w:val="20"/>
    </w:rPr>
  </w:style>
  <w:style w:type="paragraph" w:customStyle="1" w:styleId="MarginIcons">
    <w:name w:val="Margin Icons"/>
    <w:basedOn w:val="BodyText"/>
    <w:rsid w:val="00C81AE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81AEA"/>
    <w:rPr>
      <w:rFonts w:ascii="Courier New" w:hAnsi="Courier New"/>
    </w:rPr>
  </w:style>
  <w:style w:type="paragraph" w:customStyle="1" w:styleId="NoteBullet">
    <w:name w:val="Note Bullet"/>
    <w:basedOn w:val="Note"/>
    <w:rsid w:val="00C81AEA"/>
    <w:pPr>
      <w:tabs>
        <w:tab w:val="clear" w:pos="680"/>
      </w:tabs>
      <w:spacing w:before="60" w:after="60"/>
    </w:pPr>
  </w:style>
  <w:style w:type="paragraph" w:customStyle="1" w:styleId="SubHeading2">
    <w:name w:val="SubHeading2"/>
    <w:basedOn w:val="HeadingBase"/>
    <w:rsid w:val="00C81AEA"/>
    <w:pPr>
      <w:spacing w:before="240" w:after="60"/>
    </w:pPr>
    <w:rPr>
      <w:sz w:val="20"/>
    </w:rPr>
  </w:style>
  <w:style w:type="paragraph" w:customStyle="1" w:styleId="SubHeading1">
    <w:name w:val="SubHeading1"/>
    <w:basedOn w:val="HeadingBase"/>
    <w:rsid w:val="00C81AEA"/>
    <w:pPr>
      <w:spacing w:before="240" w:after="60"/>
    </w:pPr>
    <w:rPr>
      <w:color w:val="918585"/>
      <w:sz w:val="22"/>
    </w:rPr>
  </w:style>
  <w:style w:type="paragraph" w:customStyle="1" w:styleId="SideHeading">
    <w:name w:val="Side Heading"/>
    <w:basedOn w:val="HeadingBase"/>
    <w:rsid w:val="00C81A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AEA"/>
    <w:pPr>
      <w:tabs>
        <w:tab w:val="num" w:pos="360"/>
      </w:tabs>
    </w:pPr>
  </w:style>
  <w:style w:type="paragraph" w:styleId="PlainText">
    <w:name w:val="Plain Text"/>
    <w:basedOn w:val="Normal"/>
    <w:link w:val="PlainTextChar"/>
    <w:rsid w:val="00C81AEA"/>
    <w:rPr>
      <w:sz w:val="20"/>
    </w:rPr>
  </w:style>
  <w:style w:type="character" w:customStyle="1" w:styleId="PlainTextChar">
    <w:name w:val="Plain Text Char"/>
    <w:basedOn w:val="DefaultParagraphFont"/>
    <w:link w:val="PlainText"/>
    <w:rsid w:val="00C81AEA"/>
    <w:rPr>
      <w:rFonts w:ascii="Courier New" w:eastAsia="Times New Roman" w:hAnsi="Courier New" w:cs="Times New Roman"/>
      <w:sz w:val="20"/>
      <w:szCs w:val="20"/>
      <w:lang w:val="en-US" w:eastAsia="en-US"/>
    </w:rPr>
  </w:style>
  <w:style w:type="character" w:customStyle="1" w:styleId="MenuOption">
    <w:name w:val="Menu Option"/>
    <w:rsid w:val="00C81AEA"/>
    <w:rPr>
      <w:b/>
      <w:smallCaps/>
    </w:rPr>
  </w:style>
  <w:style w:type="paragraph" w:customStyle="1" w:styleId="TableListNumber">
    <w:name w:val="Table List Number"/>
    <w:basedOn w:val="ListNumber"/>
    <w:rsid w:val="00C81AEA"/>
    <w:pPr>
      <w:numPr>
        <w:numId w:val="0"/>
      </w:numPr>
    </w:pPr>
  </w:style>
  <w:style w:type="paragraph" w:styleId="TOC4">
    <w:name w:val="toc 4"/>
    <w:basedOn w:val="TOCBase"/>
    <w:next w:val="Normal"/>
    <w:semiHidden/>
    <w:rsid w:val="00C81AEA"/>
    <w:pPr>
      <w:tabs>
        <w:tab w:val="right" w:leader="dot" w:pos="9071"/>
      </w:tabs>
      <w:ind w:left="1701"/>
    </w:pPr>
  </w:style>
  <w:style w:type="paragraph" w:customStyle="1" w:styleId="ListAlpha">
    <w:name w:val="List Alpha"/>
    <w:basedOn w:val="List"/>
    <w:rsid w:val="00C81AEA"/>
    <w:pPr>
      <w:numPr>
        <w:numId w:val="8"/>
      </w:numPr>
    </w:pPr>
  </w:style>
  <w:style w:type="paragraph" w:customStyle="1" w:styleId="ListAlpha2">
    <w:name w:val="List Alpha 2"/>
    <w:basedOn w:val="List2"/>
    <w:rsid w:val="00C81AEA"/>
    <w:pPr>
      <w:numPr>
        <w:numId w:val="7"/>
      </w:numPr>
    </w:pPr>
  </w:style>
  <w:style w:type="paragraph" w:styleId="List2">
    <w:name w:val="List 2"/>
    <w:basedOn w:val="BodyText"/>
    <w:rsid w:val="00C81AEA"/>
    <w:pPr>
      <w:tabs>
        <w:tab w:val="left" w:pos="680"/>
      </w:tabs>
      <w:spacing w:before="60" w:after="60"/>
      <w:ind w:left="680" w:hanging="340"/>
    </w:pPr>
  </w:style>
  <w:style w:type="paragraph" w:styleId="List3">
    <w:name w:val="List 3"/>
    <w:basedOn w:val="BodyText"/>
    <w:rsid w:val="00C81AEA"/>
    <w:pPr>
      <w:tabs>
        <w:tab w:val="left" w:pos="1021"/>
      </w:tabs>
      <w:spacing w:before="60" w:after="60"/>
      <w:ind w:left="1020" w:hanging="340"/>
    </w:pPr>
  </w:style>
  <w:style w:type="paragraph" w:styleId="List4">
    <w:name w:val="List 4"/>
    <w:basedOn w:val="BodyText"/>
    <w:rsid w:val="00C81AEA"/>
    <w:pPr>
      <w:tabs>
        <w:tab w:val="left" w:pos="1361"/>
      </w:tabs>
      <w:spacing w:before="60" w:after="60"/>
      <w:ind w:left="1361" w:hanging="340"/>
    </w:pPr>
  </w:style>
  <w:style w:type="paragraph" w:styleId="List5">
    <w:name w:val="List 5"/>
    <w:basedOn w:val="BodyText"/>
    <w:rsid w:val="00C81AEA"/>
    <w:pPr>
      <w:tabs>
        <w:tab w:val="left" w:pos="1701"/>
      </w:tabs>
      <w:spacing w:before="60" w:after="60"/>
      <w:ind w:left="1701" w:hanging="340"/>
    </w:pPr>
  </w:style>
  <w:style w:type="paragraph" w:styleId="ListBullet3">
    <w:name w:val="List Bullet 3"/>
    <w:basedOn w:val="List3"/>
    <w:rsid w:val="00C81AEA"/>
    <w:pPr>
      <w:numPr>
        <w:numId w:val="14"/>
      </w:numPr>
      <w:tabs>
        <w:tab w:val="clear" w:pos="1021"/>
      </w:tabs>
      <w:ind w:left="1037" w:hanging="357"/>
    </w:pPr>
  </w:style>
  <w:style w:type="paragraph" w:styleId="ListBullet4">
    <w:name w:val="List Bullet 4"/>
    <w:basedOn w:val="List4"/>
    <w:rsid w:val="00C81AEA"/>
    <w:pPr>
      <w:numPr>
        <w:numId w:val="2"/>
      </w:numPr>
    </w:pPr>
  </w:style>
  <w:style w:type="paragraph" w:styleId="ListBullet5">
    <w:name w:val="List Bullet 5"/>
    <w:basedOn w:val="List5"/>
    <w:rsid w:val="00C81AEA"/>
    <w:pPr>
      <w:numPr>
        <w:numId w:val="3"/>
      </w:numPr>
    </w:pPr>
  </w:style>
  <w:style w:type="paragraph" w:styleId="ListContinue2">
    <w:name w:val="List Continue 2"/>
    <w:basedOn w:val="List2"/>
    <w:rsid w:val="00C81AEA"/>
    <w:pPr>
      <w:ind w:firstLine="0"/>
    </w:pPr>
  </w:style>
  <w:style w:type="paragraph" w:styleId="ListContinue3">
    <w:name w:val="List Continue 3"/>
    <w:basedOn w:val="List3"/>
    <w:rsid w:val="00C81AEA"/>
    <w:pPr>
      <w:ind w:left="1021" w:firstLine="0"/>
    </w:pPr>
  </w:style>
  <w:style w:type="paragraph" w:styleId="ListContinue4">
    <w:name w:val="List Continue 4"/>
    <w:basedOn w:val="List4"/>
    <w:rsid w:val="00C81AEA"/>
    <w:pPr>
      <w:ind w:firstLine="0"/>
    </w:pPr>
  </w:style>
  <w:style w:type="paragraph" w:styleId="ListContinue5">
    <w:name w:val="List Continue 5"/>
    <w:basedOn w:val="List5"/>
    <w:rsid w:val="00C81AEA"/>
    <w:pPr>
      <w:ind w:firstLine="0"/>
    </w:pPr>
  </w:style>
  <w:style w:type="paragraph" w:styleId="ListNumber3">
    <w:name w:val="List Number 3"/>
    <w:basedOn w:val="List3"/>
    <w:rsid w:val="00C81AEA"/>
    <w:pPr>
      <w:numPr>
        <w:numId w:val="4"/>
      </w:numPr>
    </w:pPr>
  </w:style>
  <w:style w:type="paragraph" w:styleId="ListNumber4">
    <w:name w:val="List Number 4"/>
    <w:basedOn w:val="List4"/>
    <w:rsid w:val="00C81AEA"/>
    <w:pPr>
      <w:numPr>
        <w:numId w:val="5"/>
      </w:numPr>
    </w:pPr>
  </w:style>
  <w:style w:type="paragraph" w:styleId="ListNumber5">
    <w:name w:val="List Number 5"/>
    <w:basedOn w:val="List5"/>
    <w:rsid w:val="00C81AEA"/>
    <w:pPr>
      <w:numPr>
        <w:numId w:val="6"/>
      </w:numPr>
    </w:pPr>
  </w:style>
  <w:style w:type="paragraph" w:styleId="BlockText">
    <w:name w:val="Block Text"/>
    <w:basedOn w:val="Normal"/>
    <w:rsid w:val="00C81AEA"/>
    <w:pPr>
      <w:spacing w:after="120"/>
      <w:ind w:left="1440" w:right="1440"/>
    </w:pPr>
  </w:style>
  <w:style w:type="character" w:customStyle="1" w:styleId="Subscript">
    <w:name w:val="Subscript"/>
    <w:rsid w:val="00C81AEA"/>
    <w:rPr>
      <w:sz w:val="16"/>
      <w:vertAlign w:val="subscript"/>
    </w:rPr>
  </w:style>
  <w:style w:type="character" w:customStyle="1" w:styleId="Superscript">
    <w:name w:val="Superscript"/>
    <w:rsid w:val="00C81AEA"/>
    <w:rPr>
      <w:sz w:val="16"/>
      <w:vertAlign w:val="superscript"/>
    </w:rPr>
  </w:style>
  <w:style w:type="character" w:customStyle="1" w:styleId="Symbols">
    <w:name w:val="Symbols"/>
    <w:rsid w:val="00C81AEA"/>
    <w:rPr>
      <w:rFonts w:ascii="Symbol" w:hAnsi="Symbol"/>
    </w:rPr>
  </w:style>
  <w:style w:type="character" w:customStyle="1" w:styleId="MenuOptions">
    <w:name w:val="Menu Options"/>
    <w:rsid w:val="00C81AEA"/>
    <w:rPr>
      <w:rFonts w:ascii="Arial Narrow" w:hAnsi="Arial Narrow"/>
      <w:smallCaps/>
    </w:rPr>
  </w:style>
  <w:style w:type="character" w:customStyle="1" w:styleId="Buttons">
    <w:name w:val="Buttons"/>
    <w:rsid w:val="00C81AEA"/>
    <w:rPr>
      <w:b/>
    </w:rPr>
  </w:style>
  <w:style w:type="character" w:customStyle="1" w:styleId="Underlined">
    <w:name w:val="Underlined"/>
    <w:rsid w:val="00C81AEA"/>
    <w:rPr>
      <w:u w:val="single"/>
    </w:rPr>
  </w:style>
  <w:style w:type="paragraph" w:customStyle="1" w:styleId="TableBodyTextRight">
    <w:name w:val="Table Body Text Right"/>
    <w:basedOn w:val="TableBodyText"/>
    <w:rsid w:val="00C81AEA"/>
    <w:pPr>
      <w:widowControl w:val="0"/>
      <w:autoSpaceDE w:val="0"/>
      <w:autoSpaceDN w:val="0"/>
      <w:adjustRightInd w:val="0"/>
      <w:jc w:val="right"/>
    </w:pPr>
    <w:rPr>
      <w:rFonts w:cs="Arial"/>
      <w:szCs w:val="18"/>
    </w:rPr>
  </w:style>
  <w:style w:type="paragraph" w:customStyle="1" w:styleId="CopyrightText">
    <w:name w:val="Copyright Text"/>
    <w:basedOn w:val="BodyText"/>
    <w:rsid w:val="00C81AEA"/>
    <w:rPr>
      <w:sz w:val="18"/>
    </w:rPr>
  </w:style>
  <w:style w:type="paragraph" w:customStyle="1" w:styleId="BodySmallRight">
    <w:name w:val="Body Small Right"/>
    <w:basedOn w:val="BodyTextRight"/>
    <w:rsid w:val="00C81AEA"/>
    <w:rPr>
      <w:sz w:val="18"/>
      <w:szCs w:val="18"/>
    </w:rPr>
  </w:style>
  <w:style w:type="paragraph" w:customStyle="1" w:styleId="MarginEdition">
    <w:name w:val="Margin Edition"/>
    <w:basedOn w:val="MarginNote"/>
    <w:rsid w:val="00C81AEA"/>
    <w:pPr>
      <w:spacing w:before="0" w:after="0"/>
    </w:pPr>
    <w:rPr>
      <w:rFonts w:ascii="Times New Roman" w:hAnsi="Times New Roman"/>
      <w:color w:val="999999"/>
    </w:rPr>
  </w:style>
  <w:style w:type="paragraph" w:customStyle="1" w:styleId="Spacer">
    <w:name w:val="Spacer"/>
    <w:basedOn w:val="Normal"/>
    <w:rsid w:val="00C81AEA"/>
    <w:rPr>
      <w:sz w:val="2"/>
      <w:szCs w:val="2"/>
    </w:rPr>
  </w:style>
  <w:style w:type="character" w:customStyle="1" w:styleId="Small">
    <w:name w:val="Small"/>
    <w:rsid w:val="00C81AEA"/>
    <w:rPr>
      <w:sz w:val="16"/>
    </w:rPr>
  </w:style>
  <w:style w:type="paragraph" w:customStyle="1" w:styleId="WideTable">
    <w:name w:val="Wide Table"/>
    <w:basedOn w:val="Normal"/>
    <w:rsid w:val="00C81AEA"/>
    <w:pPr>
      <w:ind w:left="-1418"/>
    </w:pPr>
    <w:rPr>
      <w:sz w:val="2"/>
      <w:szCs w:val="2"/>
    </w:rPr>
  </w:style>
  <w:style w:type="character" w:styleId="PageNumber">
    <w:name w:val="page number"/>
    <w:rsid w:val="00C81AEA"/>
  </w:style>
  <w:style w:type="paragraph" w:styleId="Quote">
    <w:name w:val="Quote"/>
    <w:basedOn w:val="Heading1"/>
    <w:link w:val="QuoteChar"/>
    <w:qFormat/>
    <w:rsid w:val="00C81AEA"/>
    <w:rPr>
      <w:b w:val="0"/>
      <w:sz w:val="72"/>
      <w:szCs w:val="72"/>
      <w:lang w:val="en-NZ"/>
    </w:rPr>
  </w:style>
  <w:style w:type="character" w:customStyle="1" w:styleId="QuoteChar">
    <w:name w:val="Quote Char"/>
    <w:link w:val="Quote"/>
    <w:rsid w:val="00C81A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AEA"/>
    <w:pPr>
      <w:pageBreakBefore/>
    </w:pPr>
  </w:style>
  <w:style w:type="paragraph" w:customStyle="1" w:styleId="Border">
    <w:name w:val="Border"/>
    <w:basedOn w:val="Normal"/>
    <w:qFormat/>
    <w:rsid w:val="00C81AEA"/>
    <w:pPr>
      <w:pBdr>
        <w:top w:val="single" w:sz="18" w:space="1" w:color="auto"/>
      </w:pBdr>
    </w:pPr>
    <w:rPr>
      <w:rFonts w:ascii="Times New Roman" w:hAnsi="Times New Roman"/>
      <w:color w:val="FFFFFF"/>
      <w:sz w:val="2"/>
    </w:rPr>
  </w:style>
  <w:style w:type="character" w:styleId="IntenseEmphasis">
    <w:name w:val="Intense Emphasis"/>
    <w:uiPriority w:val="21"/>
    <w:qFormat/>
    <w:rsid w:val="00C81AEA"/>
    <w:rPr>
      <w:b/>
      <w:bCs/>
      <w:i/>
      <w:iCs/>
      <w:color w:val="auto"/>
    </w:rPr>
  </w:style>
  <w:style w:type="paragraph" w:styleId="IntenseQuote">
    <w:name w:val="Intense Quote"/>
    <w:basedOn w:val="Normal"/>
    <w:next w:val="Normal"/>
    <w:link w:val="IntenseQuoteChar"/>
    <w:uiPriority w:val="30"/>
    <w:qFormat/>
    <w:rsid w:val="00C81AE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81AEA"/>
    <w:rPr>
      <w:rFonts w:ascii="Courier New" w:eastAsia="Times New Roman" w:hAnsi="Courier New" w:cs="Times New Roman"/>
      <w:b/>
      <w:bCs/>
      <w:i/>
      <w:iCs/>
      <w:szCs w:val="20"/>
      <w:lang w:val="en-US" w:eastAsia="en-US"/>
    </w:rPr>
  </w:style>
  <w:style w:type="character" w:styleId="SubtleReference">
    <w:name w:val="Subtle Reference"/>
    <w:uiPriority w:val="31"/>
    <w:qFormat/>
    <w:rsid w:val="00C81AEA"/>
    <w:rPr>
      <w:smallCaps/>
      <w:color w:val="auto"/>
      <w:u w:val="single"/>
    </w:rPr>
  </w:style>
  <w:style w:type="character" w:styleId="IntenseReference">
    <w:name w:val="Intense Reference"/>
    <w:uiPriority w:val="32"/>
    <w:qFormat/>
    <w:rsid w:val="00C81AEA"/>
    <w:rPr>
      <w:b/>
      <w:bCs/>
      <w:smallCaps/>
      <w:color w:val="auto"/>
      <w:spacing w:val="5"/>
      <w:u w:val="single"/>
    </w:rPr>
  </w:style>
  <w:style w:type="paragraph" w:customStyle="1" w:styleId="2ColumnHeading">
    <w:name w:val="2Column Heading"/>
    <w:basedOn w:val="BodyText"/>
    <w:qFormat/>
    <w:rsid w:val="00C81AEA"/>
    <w:pPr>
      <w:spacing w:after="60"/>
      <w:ind w:left="-2268"/>
    </w:pPr>
    <w:rPr>
      <w:b/>
    </w:rPr>
  </w:style>
  <w:style w:type="paragraph" w:customStyle="1" w:styleId="Heading1TOC">
    <w:name w:val="Heading1 TOC"/>
    <w:basedOn w:val="Normal"/>
    <w:qFormat/>
    <w:rsid w:val="00C81AEA"/>
    <w:pPr>
      <w:spacing w:before="240" w:after="120"/>
    </w:pPr>
    <w:rPr>
      <w:rFonts w:ascii="Times New Roman" w:hAnsi="Times New Roman"/>
      <w:b/>
      <w:sz w:val="32"/>
    </w:rPr>
  </w:style>
  <w:style w:type="paragraph" w:customStyle="1" w:styleId="Heading2TOC">
    <w:name w:val="Heading2 TOC"/>
    <w:basedOn w:val="Normal"/>
    <w:qFormat/>
    <w:rsid w:val="00C81AEA"/>
    <w:pPr>
      <w:spacing w:before="240" w:after="60"/>
    </w:pPr>
    <w:rPr>
      <w:rFonts w:ascii="Times New Roman" w:hAnsi="Times New Roman"/>
      <w:b/>
      <w:sz w:val="28"/>
    </w:rPr>
  </w:style>
  <w:style w:type="character" w:customStyle="1" w:styleId="Underline">
    <w:name w:val="Underline"/>
    <w:qFormat/>
    <w:rsid w:val="00C81AEA"/>
    <w:rPr>
      <w:u w:val="single"/>
    </w:rPr>
  </w:style>
  <w:style w:type="character" w:customStyle="1" w:styleId="BoldandItalics">
    <w:name w:val="Bold and Italics"/>
    <w:qFormat/>
    <w:rsid w:val="00C81AEA"/>
    <w:rPr>
      <w:b/>
      <w:i/>
      <w:u w:val="none"/>
    </w:rPr>
  </w:style>
  <w:style w:type="paragraph" w:styleId="BalloonText">
    <w:name w:val="Balloon Text"/>
    <w:basedOn w:val="Normal"/>
    <w:link w:val="BalloonTextChar"/>
    <w:rsid w:val="00C81AEA"/>
    <w:rPr>
      <w:rFonts w:ascii="Tahoma" w:hAnsi="Tahoma" w:cs="Tahoma"/>
      <w:sz w:val="16"/>
      <w:szCs w:val="16"/>
    </w:rPr>
  </w:style>
  <w:style w:type="character" w:customStyle="1" w:styleId="BalloonTextChar">
    <w:name w:val="Balloon Text Char"/>
    <w:link w:val="BalloonText"/>
    <w:rsid w:val="00C81A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1AE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81AE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77045FA0.dotm</Template>
  <TotalTime>0</TotalTime>
  <Pages>6</Pages>
  <Words>1602</Words>
  <Characters>10290</Characters>
  <Application>Microsoft Office Word</Application>
  <DocSecurity>0</DocSecurity>
  <Lines>303</Lines>
  <Paragraphs>123</Paragraphs>
  <ScaleCrop>false</ScaleCrop>
  <Company>Author-it Software Corporation Ltd.</Company>
  <LinksUpToDate>false</LinksUpToDate>
  <CharactersWithSpaces>11785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BCCCM2002C Use small plant and equipment</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2012-05-26T13:29:00Z</dcterms:created>
  <dcterms:modified xsi:type="dcterms:W3CDTF">2012-05-26T13:29:00Z</dcterms:modified>
</cp:coreProperties>
</file>