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CA1" w:rsidP="00D67CA1">
      <w:pPr>
        <w:pStyle w:val="Title"/>
      </w:pPr>
      <w:r>
        <w:fldChar w:fldCharType="begin"/>
      </w:r>
      <w:r>
        <w:instrText xml:space="preserve"> TITLE   \* MERGEFORMAT </w:instrText>
      </w:r>
      <w:r>
        <w:fldChar w:fldCharType="separate"/>
      </w:r>
      <w:r>
        <w:t>AVIO2007B Establish and maintain a sterile area at an airport</w:t>
      </w:r>
      <w:r>
        <w:fldChar w:fldCharType="end"/>
      </w:r>
    </w:p>
    <w:p w:rsidR="00D67CA1" w:rsidP="00D67CA1">
      <w:pPr>
        <w:pStyle w:val="Version"/>
        <w:sectPr w:rsidSect="00C71B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1B57" w:rsidP="00C71B57">
      <w:pPr>
        <w:pStyle w:val="SuperHeading"/>
      </w:pPr>
      <w:r w:rsidRPr="00C71B57">
        <w:t>AVIO2007B Establish and maintain a sterile area at an airport</w:t>
      </w:r>
    </w:p>
    <w:p w:rsidR="00000000" w:rsidRPr="00C71B57" w:rsidP="00C71B57">
      <w:pPr>
        <w:pStyle w:val="Heading1"/>
      </w:pPr>
      <w:bookmarkStart w:id="1" w:name="O_630862"/>
      <w:bookmarkEnd w:id="1"/>
      <w:r w:rsidRPr="00C71B57">
        <w:t>Modification History</w:t>
      </w:r>
    </w:p>
    <w:p w:rsidR="00000000" w:rsidRPr="00C71B57" w:rsidP="00C71B57">
      <w:pPr>
        <w:pStyle w:val="BodyText"/>
      </w:pPr>
      <w:r w:rsidRPr="00C71B57">
        <w:t>Release 1. Revised unit.</w:t>
      </w:r>
    </w:p>
    <w:p w:rsidR="00000000" w:rsidRPr="00C71B57" w:rsidP="00C71B57">
      <w:pPr>
        <w:pStyle w:val="BodyText"/>
      </w:pPr>
      <w:r w:rsidRPr="00C71B57">
        <w:t>This unit replaces and is equivalent to AVIO2007A Establish and maintain a sterile area at an airport.</w:t>
      </w:r>
    </w:p>
    <w:p w:rsidR="00000000" w:rsidRPr="00C71B57" w:rsidP="00C71B57">
      <w:pPr>
        <w:pStyle w:val="AllowPageBreak"/>
      </w:pPr>
    </w:p>
    <w:p w:rsidR="00000000" w:rsidRPr="00C71B57" w:rsidP="00C71B57">
      <w:pPr>
        <w:pStyle w:val="Heading1"/>
      </w:pPr>
      <w:bookmarkStart w:id="2" w:name="O_630863"/>
      <w:bookmarkEnd w:id="2"/>
      <w:r w:rsidRPr="00C71B57">
        <w:t>Unit Descriptor</w:t>
      </w:r>
    </w:p>
    <w:p w:rsidR="00000000" w:rsidRPr="00C71B57" w:rsidP="00C71B57">
      <w:pPr>
        <w:pStyle w:val="BodyText"/>
      </w:pPr>
      <w:r w:rsidRPr="00C71B57">
        <w:t>This unit involves the skills and knowledge required to establish or re</w:t>
      </w:r>
      <w:r w:rsidRPr="00C71B57">
        <w:noBreakHyphen/>
        <w:t>establish a sterile area at an airport. This includes identifying, reading and interpreting relevant sections of the Act and the Regulations applicable to establishing a sterile area a</w:t>
      </w:r>
      <w:r w:rsidRPr="00C71B57">
        <w:t>t an airport and taking all required action following an intentional or unintentional breach, evacuation or equipment failure in accordance with workplace procedures.</w:t>
      </w:r>
    </w:p>
    <w:p w:rsidR="00000000" w:rsidRPr="00C71B57" w:rsidP="00C71B57">
      <w:pPr>
        <w:pStyle w:val="BodyText"/>
      </w:pPr>
      <w:r w:rsidRPr="00C71B57">
        <w:t>Licensing, legislative, regulatory or certification requirements are applicable to this u</w:t>
      </w:r>
      <w:r w:rsidRPr="00C71B57">
        <w:t>nit.</w:t>
      </w:r>
    </w:p>
    <w:p w:rsidR="00000000" w:rsidRPr="00C71B57" w:rsidP="00C71B57">
      <w:pPr>
        <w:pStyle w:val="AllowPageBreak"/>
      </w:pPr>
    </w:p>
    <w:p w:rsidR="00000000" w:rsidRPr="00C71B57" w:rsidP="00C71B57">
      <w:pPr>
        <w:pStyle w:val="Heading1"/>
      </w:pPr>
      <w:bookmarkStart w:id="3" w:name="O_630864"/>
      <w:bookmarkEnd w:id="3"/>
      <w:r w:rsidRPr="00C71B57">
        <w:t>Application of the Unit</w:t>
      </w:r>
    </w:p>
    <w:p w:rsidR="00000000" w:rsidRPr="00C71B57" w:rsidP="00C71B57">
      <w:pPr>
        <w:pStyle w:val="BodyText"/>
      </w:pPr>
      <w:r w:rsidRPr="00C71B57">
        <w:t>Work must be carried out in accordance with workplace procedures and the relevant regulatory requirements.</w:t>
      </w:r>
    </w:p>
    <w:p w:rsidR="00000000" w:rsidRPr="00C71B57" w:rsidP="00C71B57">
      <w:pPr>
        <w:pStyle w:val="BodyText"/>
      </w:pPr>
      <w:r w:rsidRPr="00C71B57">
        <w:t>Work is performed under some supervision usually within a team environment.</w:t>
      </w:r>
    </w:p>
    <w:p w:rsidR="00000000" w:rsidRPr="00C71B57" w:rsidP="00C71B57">
      <w:pPr>
        <w:pStyle w:val="BodyText"/>
      </w:pPr>
      <w:r w:rsidRPr="00C71B57">
        <w:t>Work involves the applicati</w:t>
      </w:r>
      <w:r w:rsidRPr="00C71B57">
        <w:t>on of workplace procedures and relevant regulations when establishing or re-establishing a sterile area at an airport following an intentional or unintentional breach.</w:t>
      </w:r>
    </w:p>
    <w:p w:rsidR="00000000" w:rsidRPr="00C71B57" w:rsidP="00C71B57">
      <w:pPr>
        <w:pStyle w:val="AllowPageBreak"/>
      </w:pPr>
    </w:p>
    <w:p w:rsidR="00000000" w:rsidRPr="00C71B57" w:rsidP="00C71B57">
      <w:pPr>
        <w:pStyle w:val="Heading1"/>
      </w:pPr>
      <w:bookmarkStart w:id="4" w:name="O_630865"/>
      <w:bookmarkEnd w:id="4"/>
      <w:r w:rsidRPr="00C71B57">
        <w:t>Licensing/Regulatory Information</w:t>
      </w:r>
    </w:p>
    <w:p w:rsidR="00000000" w:rsidRPr="00C71B57" w:rsidP="00C71B57">
      <w:pPr>
        <w:pStyle w:val="BodyText"/>
      </w:pPr>
      <w:r w:rsidRPr="00C71B57">
        <w:t>Refer to Unit Descriptor.</w:t>
      </w:r>
    </w:p>
    <w:p w:rsidR="00000000" w:rsidRPr="00C71B57" w:rsidP="00C71B57">
      <w:pPr>
        <w:pStyle w:val="AllowPageBreak"/>
      </w:pPr>
    </w:p>
    <w:p w:rsidR="00000000" w:rsidRPr="00C71B57" w:rsidP="00C71B57">
      <w:pPr>
        <w:pStyle w:val="Heading1"/>
      </w:pPr>
      <w:bookmarkStart w:id="5" w:name="O_630866"/>
      <w:bookmarkEnd w:id="5"/>
      <w:r w:rsidRPr="00C71B57">
        <w:t>Pre-Requisites</w:t>
      </w:r>
    </w:p>
    <w:p w:rsidR="00000000" w:rsidRPr="00C71B57" w:rsidP="00C71B57">
      <w:pPr>
        <w:pStyle w:val="BodyText"/>
      </w:pPr>
      <w:r w:rsidRPr="00C71B57">
        <w:t>Nil.</w:t>
      </w:r>
    </w:p>
    <w:p w:rsidR="00000000" w:rsidRPr="00C71B57" w:rsidP="00C71B57">
      <w:pPr>
        <w:pStyle w:val="AllowPageBreak"/>
      </w:pPr>
    </w:p>
    <w:p w:rsidR="00000000" w:rsidRPr="00C71B57" w:rsidP="00C71B57">
      <w:pPr>
        <w:pStyle w:val="Heading1"/>
      </w:pPr>
      <w:bookmarkStart w:id="6" w:name="O_630867"/>
      <w:bookmarkEnd w:id="6"/>
      <w:r w:rsidRPr="00C71B57">
        <w:t>Employability Skills Information</w:t>
      </w:r>
    </w:p>
    <w:p w:rsidR="00000000" w:rsidRPr="00C71B57" w:rsidP="00C71B57">
      <w:pPr>
        <w:pStyle w:val="BodyText"/>
      </w:pPr>
      <w:r w:rsidRPr="00C71B57">
        <w:t>This unit contains employability skills.</w:t>
      </w:r>
    </w:p>
    <w:p w:rsidR="00000000" w:rsidRPr="00C71B57" w:rsidP="00C71B57">
      <w:pPr>
        <w:pStyle w:val="AllowPageBreak"/>
      </w:pPr>
    </w:p>
    <w:p w:rsidR="00000000" w:rsidRPr="00C71B57" w:rsidP="00C71B57">
      <w:pPr>
        <w:pStyle w:val="Heading1"/>
      </w:pPr>
      <w:bookmarkStart w:id="7" w:name="O_630868"/>
      <w:bookmarkEnd w:id="7"/>
      <w:r w:rsidRPr="00C71B57">
        <w:t>Elements and Performance Criteria Pre-Content</w:t>
      </w:r>
    </w:p>
    <w:tbl>
      <w:tblPr>
        <w:tblW w:w="9640" w:type="dxa"/>
        <w:tblLayout w:type="fixed"/>
        <w:tblCellMar>
          <w:left w:w="62" w:type="dxa"/>
          <w:right w:w="62" w:type="dxa"/>
        </w:tblCellMar>
        <w:tblLook w:val="0000"/>
      </w:tblPr>
      <w:tblGrid>
        <w:gridCol w:w="2651"/>
        <w:gridCol w:w="6989"/>
      </w:tblGrid>
      <w:tr w:rsidTr="00C71B57">
        <w:tblPrEx>
          <w:tblW w:w="9640" w:type="dxa"/>
          <w:tblLayout w:type="fixed"/>
          <w:tblCellMar>
            <w:left w:w="62" w:type="dxa"/>
            <w:right w:w="62" w:type="dxa"/>
          </w:tblCellMar>
          <w:tblLook w:val="0000"/>
        </w:tblPrEx>
        <w:trPr>
          <w:trHeight w:val="574"/>
        </w:trPr>
        <w:tc>
          <w:tcPr>
            <w:tcW w:w="2651"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Elements describe the essential outcomes of a unit of competency.</w:t>
            </w:r>
          </w:p>
        </w:tc>
        <w:tc>
          <w:tcPr>
            <w:tcW w:w="6989" w:type="dxa"/>
            <w:tcBorders>
              <w:top w:val="nil"/>
              <w:left w:val="nil"/>
              <w:bottom w:val="nil"/>
              <w:right w:val="nil"/>
            </w:tcBorders>
            <w:tcMar>
              <w:top w:w="0" w:type="dxa"/>
              <w:left w:w="62" w:type="dxa"/>
              <w:bottom w:w="0" w:type="dxa"/>
              <w:right w:w="62" w:type="dxa"/>
            </w:tcMar>
          </w:tcPr>
          <w:p w:rsidR="00000000" w:rsidRPr="00C71B57" w:rsidP="00C71B57">
            <w:pPr>
              <w:pStyle w:val="BodyText"/>
            </w:pPr>
            <w:r w:rsidRPr="00C71B57">
              <w:t>Performance</w:t>
            </w:r>
            <w:r w:rsidRPr="00C71B57">
              <w:t xml:space="preserve"> criteria describe the required performance needed to demonstrate achievement of the element. Assessment of performance is to be consistent with the evidence guide.</w:t>
            </w:r>
          </w:p>
        </w:tc>
      </w:tr>
    </w:tbl>
    <w:p w:rsidR="00000000" w:rsidRPr="00C71B57" w:rsidP="00C71B57">
      <w:pPr>
        <w:pStyle w:val="BodyText"/>
      </w:pPr>
    </w:p>
    <w:p w:rsidR="00000000" w:rsidRPr="00C71B57" w:rsidP="00C71B57">
      <w:pPr>
        <w:pStyle w:val="AllowPageBreak"/>
      </w:pPr>
    </w:p>
    <w:p w:rsidR="00000000" w:rsidRPr="00C71B57" w:rsidP="00C71B57">
      <w:pPr>
        <w:pStyle w:val="Heading1"/>
      </w:pPr>
      <w:bookmarkStart w:id="8" w:name="O_630869"/>
      <w:bookmarkEnd w:id="8"/>
      <w:r w:rsidRPr="00C71B57">
        <w:t>Elements and Performance Criteria</w:t>
      </w:r>
    </w:p>
    <w:tbl>
      <w:tblPr>
        <w:tblW w:w="0" w:type="auto"/>
        <w:tblLayout w:type="fixed"/>
        <w:tblCellMar>
          <w:left w:w="62" w:type="dxa"/>
          <w:right w:w="62" w:type="dxa"/>
        </w:tblCellMar>
        <w:tblLook w:val="0000"/>
      </w:tblPr>
      <w:tblGrid>
        <w:gridCol w:w="275"/>
        <w:gridCol w:w="1359"/>
        <w:gridCol w:w="463"/>
        <w:gridCol w:w="7018"/>
      </w:tblGrid>
      <w:tr w:rsidTr="00C71B57">
        <w:tblPrEx>
          <w:tblW w:w="0" w:type="auto"/>
          <w:tblLayout w:type="fixed"/>
          <w:tblCellMar>
            <w:left w:w="62" w:type="dxa"/>
            <w:right w:w="62" w:type="dxa"/>
          </w:tblCellMar>
          <w:tblLook w:val="0000"/>
        </w:tblPrEx>
        <w:trPr>
          <w:trHeight w:val="574"/>
        </w:trPr>
        <w:tc>
          <w:tcPr>
            <w:tcW w:w="275" w:type="dxa"/>
            <w:vMerge w:val="restart"/>
            <w:tcBorders>
              <w:top w:val="nil"/>
              <w:left w:val="nil"/>
              <w:bottom w:val="nil"/>
              <w:right w:val="nil"/>
            </w:tcBorders>
            <w:tcMar>
              <w:top w:w="0" w:type="dxa"/>
              <w:left w:w="62" w:type="dxa"/>
              <w:bottom w:w="0" w:type="dxa"/>
              <w:right w:w="62" w:type="dxa"/>
            </w:tcMar>
          </w:tcPr>
          <w:p w:rsidR="00000000" w:rsidRPr="00C71B57" w:rsidP="00C71B57">
            <w:pPr>
              <w:pStyle w:val="BodyText"/>
            </w:pPr>
            <w:r w:rsidRPr="00C71B57">
              <w:rPr>
                <w:rStyle w:val="SpecialBold"/>
              </w:rPr>
              <w:t>1</w:t>
            </w:r>
          </w:p>
        </w:tc>
        <w:tc>
          <w:tcPr>
            <w:tcW w:w="1359" w:type="dxa"/>
            <w:vMerge w:val="restart"/>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rPr>
                <w:rStyle w:val="SpecialBold"/>
              </w:rPr>
              <w:t>Establish sterile area</w:t>
            </w:r>
          </w:p>
        </w:tc>
        <w:tc>
          <w:tcPr>
            <w:tcW w:w="463"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1.1</w:t>
            </w:r>
          </w:p>
        </w:tc>
        <w:tc>
          <w:tcPr>
            <w:tcW w:w="7018"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Sterile areas are established as required in accordance with workplace procedures</w:t>
            </w:r>
          </w:p>
        </w:tc>
      </w:tr>
      <w:tr w:rsidTr="00C71B57">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1.2</w:t>
            </w:r>
          </w:p>
        </w:tc>
        <w:tc>
          <w:tcPr>
            <w:tcW w:w="7018"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Sterile areas are re-established following a breach, evacuation or equipment failure as required in accordance with workplace procedures</w:t>
            </w:r>
          </w:p>
        </w:tc>
      </w:tr>
      <w:tr w:rsidTr="00C71B57">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C71B57" w:rsidP="00C71B57">
            <w:pPr>
              <w:pStyle w:val="BodyText"/>
            </w:pPr>
            <w:r w:rsidRPr="00C71B57">
              <w:rPr>
                <w:rStyle w:val="SpecialBold"/>
              </w:rPr>
              <w:t>2</w:t>
            </w:r>
          </w:p>
        </w:tc>
        <w:tc>
          <w:tcPr>
            <w:tcW w:w="1359" w:type="dxa"/>
            <w:vMerge w:val="restart"/>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rPr>
                <w:rStyle w:val="SpecialBold"/>
              </w:rPr>
              <w:t>Recognise and report a breach</w:t>
            </w:r>
          </w:p>
        </w:tc>
        <w:tc>
          <w:tcPr>
            <w:tcW w:w="463"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2.1</w:t>
            </w:r>
          </w:p>
        </w:tc>
        <w:tc>
          <w:tcPr>
            <w:tcW w:w="7018"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Breaches or potential breaches of sterile areas are recognised</w:t>
            </w:r>
          </w:p>
        </w:tc>
      </w:tr>
      <w:tr w:rsidTr="00C71B57">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2.2</w:t>
            </w:r>
          </w:p>
        </w:tc>
        <w:tc>
          <w:tcPr>
            <w:tcW w:w="7018"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Breaches or potential breaches are reported to designated personnel in accordance with the organisation’s transport security program and workplace proce</w:t>
            </w:r>
            <w:r w:rsidRPr="00C71B57">
              <w:t xml:space="preserve">dures </w:t>
            </w:r>
          </w:p>
        </w:tc>
      </w:tr>
      <w:tr w:rsidTr="00C71B57">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2.3</w:t>
            </w:r>
          </w:p>
        </w:tc>
        <w:tc>
          <w:tcPr>
            <w:tcW w:w="7018"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Information about breaches or potential breaches is collected in accordance with workplace procedures</w:t>
            </w:r>
          </w:p>
        </w:tc>
      </w:tr>
      <w:tr w:rsidTr="00C71B57">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2.4</w:t>
            </w:r>
          </w:p>
        </w:tc>
        <w:tc>
          <w:tcPr>
            <w:tcW w:w="7018"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The nature of breaches or potential breaches is determined in accordance with the organisation’</w:t>
            </w:r>
            <w:r w:rsidRPr="00C71B57">
              <w:t>s transport security program and workplace procedures</w:t>
            </w:r>
          </w:p>
        </w:tc>
      </w:tr>
      <w:tr w:rsidTr="00C71B57">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2.5</w:t>
            </w:r>
          </w:p>
        </w:tc>
        <w:tc>
          <w:tcPr>
            <w:tcW w:w="7018"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Appropriate action is taken in the event of a breach in accordance with organisation’s transport security program and workplace procedures</w:t>
            </w:r>
          </w:p>
        </w:tc>
      </w:tr>
      <w:tr w:rsidTr="00C71B57">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C71B57" w:rsidP="00C71B57">
            <w:pPr>
              <w:pStyle w:val="BodyText"/>
            </w:pPr>
            <w:r w:rsidRPr="00C71B57">
              <w:rPr>
                <w:rStyle w:val="SpecialBold"/>
              </w:rPr>
              <w:t>3</w:t>
            </w:r>
          </w:p>
        </w:tc>
        <w:tc>
          <w:tcPr>
            <w:tcW w:w="1359" w:type="dxa"/>
            <w:vMerge w:val="restart"/>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rPr>
                <w:rStyle w:val="SpecialBold"/>
              </w:rPr>
              <w:t>Complete required documentation</w:t>
            </w:r>
          </w:p>
        </w:tc>
        <w:tc>
          <w:tcPr>
            <w:tcW w:w="463"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3.1</w:t>
            </w:r>
          </w:p>
        </w:tc>
        <w:tc>
          <w:tcPr>
            <w:tcW w:w="7018"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Record of actions</w:t>
            </w:r>
            <w:r w:rsidRPr="00C71B57">
              <w:t xml:space="preserve"> taken to establish and/or re</w:t>
            </w:r>
            <w:r w:rsidRPr="00C71B57">
              <w:noBreakHyphen/>
              <w:t>establish a sterile area are completed in accordance with the organisation’s transport security program and workplace procedures</w:t>
            </w:r>
          </w:p>
        </w:tc>
      </w:tr>
      <w:tr w:rsidTr="00C71B57">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3.2</w:t>
            </w:r>
          </w:p>
        </w:tc>
        <w:tc>
          <w:tcPr>
            <w:tcW w:w="7018"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Records of a breach, potential breach, evacuation or equipment failure in a sterile area are completed in accordance with the organisation’s transport security program and workplace procedures</w:t>
            </w:r>
          </w:p>
        </w:tc>
      </w:tr>
      <w:tr w:rsidTr="00C71B57">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3.3</w:t>
            </w:r>
          </w:p>
        </w:tc>
        <w:tc>
          <w:tcPr>
            <w:tcW w:w="7018" w:type="dxa"/>
            <w:tcBorders>
              <w:top w:val="nil"/>
              <w:left w:val="nil"/>
              <w:bottom w:val="nil"/>
              <w:right w:val="nil"/>
            </w:tcBorders>
            <w:tcMar>
              <w:top w:w="0" w:type="dxa"/>
              <w:left w:w="62" w:type="dxa"/>
              <w:bottom w:w="0" w:type="dxa"/>
              <w:right w:w="62" w:type="dxa"/>
            </w:tcMar>
          </w:tcPr>
          <w:p w:rsidR="00000000" w:rsidRPr="00C71B57" w:rsidP="00C71B57">
            <w:pPr>
              <w:pStyle w:val="BodyText"/>
            </w:pPr>
            <w:r w:rsidRPr="00C71B57">
              <w:t>Written reports of a breach, potential breach, evacuatio</w:t>
            </w:r>
            <w:r w:rsidRPr="00C71B57">
              <w:t>n or equipment failure and related action to re</w:t>
            </w:r>
            <w:r w:rsidRPr="00C71B57">
              <w:noBreakHyphen/>
              <w:t>establish a sterile area are completed and referred to designated personnel in accordance with the organisation’s transport security program and workplace procedures</w:t>
            </w:r>
          </w:p>
        </w:tc>
      </w:tr>
    </w:tbl>
    <w:p w:rsidR="00000000" w:rsidRPr="00C71B57" w:rsidP="00C71B57">
      <w:pPr>
        <w:pStyle w:val="BodyText"/>
      </w:pPr>
    </w:p>
    <w:p w:rsidR="00000000" w:rsidRPr="00C71B57" w:rsidP="00C71B57">
      <w:pPr>
        <w:pStyle w:val="AllowPageBreak"/>
      </w:pPr>
    </w:p>
    <w:p w:rsidR="00000000" w:rsidRPr="00C71B57" w:rsidP="00C71B57">
      <w:pPr>
        <w:pStyle w:val="Heading1"/>
      </w:pPr>
      <w:bookmarkStart w:id="9" w:name="O_630870"/>
      <w:bookmarkEnd w:id="9"/>
      <w:r w:rsidRPr="00C71B57">
        <w:t>Required Skills and Kno</w:t>
      </w:r>
      <w:r w:rsidRPr="00C71B57">
        <w:t>wledge</w:t>
      </w:r>
    </w:p>
    <w:tbl>
      <w:tblPr>
        <w:tblW w:w="9640" w:type="dxa"/>
        <w:tblLayout w:type="fixed"/>
        <w:tblCellMar>
          <w:left w:w="62" w:type="dxa"/>
          <w:right w:w="62" w:type="dxa"/>
        </w:tblCellMar>
        <w:tblLook w:val="0000"/>
      </w:tblPr>
      <w:tblGrid>
        <w:gridCol w:w="9640"/>
      </w:tblGrid>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This describes the essential knowledge and skills and their level required for this unit.</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rPr>
                <w:rStyle w:val="SpecialBold"/>
              </w:rPr>
              <w:t>Required knowledge:</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Regulations relevant to the establishment of a sterile area in an aviation environment and its re</w:t>
            </w:r>
            <w:r w:rsidRPr="00C71B57">
              <w:noBreakHyphen/>
            </w:r>
            <w:r w:rsidRPr="00C71B57">
              <w:t>establishment following either an intentional or unintentional breach, evacuation or equipment failure</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Aviation transport security program procedures and policies applicable to the establishment of a sterile area at an airport and its re</w:t>
            </w:r>
            <w:r w:rsidRPr="00C71B57">
              <w:noBreakHyphen/>
              <w:t>establishment fo</w:t>
            </w:r>
            <w:r w:rsidRPr="00C71B57">
              <w:t>llowing either an intentional or unintentional breach, evacuation or equipment failure</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Roles, functions and responsibilities of airport screening personnel for the establishment of a sterile area in an aviation environment</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Action to be taken in the eve</w:t>
            </w:r>
            <w:r w:rsidRPr="00C71B57">
              <w:t>nt of a breach, evacuation or equipment failure in the sterile area and its subsequent re</w:t>
            </w:r>
            <w:r w:rsidRPr="00C71B57">
              <w:noBreakHyphen/>
              <w:t>establishment</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Notification requirements in the event of a breach of a sterile area, evacuation or equipment failure and the subsequent re</w:t>
            </w:r>
            <w:r w:rsidRPr="00C71B57">
              <w:noBreakHyphen/>
              <w:t>establishment of the steri</w:t>
            </w:r>
            <w:r w:rsidRPr="00C71B57">
              <w:t>le area</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Customer service standards and techniques to be applied when establishing and maintaining a sterile area in an aviation environment</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Typical issues that may occur when establishing a sterile area at an airport and re</w:t>
            </w:r>
            <w:r w:rsidRPr="00C71B57">
              <w:noBreakHyphen/>
            </w:r>
            <w:r w:rsidRPr="00C71B57">
              <w:t>establishing it following either an intentional or unintentional breach, evacuation or equipment failure, and appropriate action that can be taken to resolve and avoid the issues</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Reporting requirements as detailed in the organisation’s transport security</w:t>
            </w:r>
            <w:r w:rsidRPr="00C71B57">
              <w:t xml:space="preserve"> program relevant to the establishment of a sterile area at an airport and its re-establishment following either an intentional or unintentional breach, evacuation or equipment failure</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71B57" w:rsidP="00C71B57">
            <w:pPr>
              <w:pStyle w:val="ListBullet"/>
            </w:pPr>
            <w:r w:rsidRPr="00C71B57">
              <w:t>Site layout, organisational structure and workplace procedures for an</w:t>
            </w:r>
            <w:r w:rsidRPr="00C71B57">
              <w:t xml:space="preserve"> aviation transport sterile area and related access, exit and security screening point(s)</w:t>
            </w:r>
          </w:p>
        </w:tc>
      </w:tr>
    </w:tbl>
    <w:p w:rsidR="00000000" w:rsidRPr="00C71B57" w:rsidP="00C71B57">
      <w:pPr>
        <w:pStyle w:val="BodyText"/>
      </w:pPr>
    </w:p>
    <w:tbl>
      <w:tblPr>
        <w:tblW w:w="9640" w:type="dxa"/>
        <w:tblLayout w:type="fixed"/>
        <w:tblCellMar>
          <w:left w:w="62" w:type="dxa"/>
          <w:right w:w="62" w:type="dxa"/>
        </w:tblCellMar>
        <w:tblLook w:val="0000"/>
      </w:tblPr>
      <w:tblGrid>
        <w:gridCol w:w="9640"/>
      </w:tblGrid>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rPr>
                <w:rStyle w:val="SpecialBold"/>
              </w:rPr>
              <w:t>Required skills:</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Communicate effectively with others when establishing a sterile area at an airport and re</w:t>
            </w:r>
            <w:r w:rsidRPr="00C71B57">
              <w:noBreakHyphen/>
              <w:t>establishing it following either an intentional or unin</w:t>
            </w:r>
            <w:r w:rsidRPr="00C71B57">
              <w:t>tentional breach, evacuation or equipment failure</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Read, understand and apply the Act, Regulations and workplace procedures as they relate to the establishment of a sterile area at an airport and its re</w:t>
            </w:r>
            <w:r w:rsidRPr="00C71B57">
              <w:noBreakHyphen/>
              <w:t>establishing following either an intentional or unin</w:t>
            </w:r>
            <w:r w:rsidRPr="00C71B57">
              <w:t>tentional breach, evacuation or equipment failure</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Respond to and report any security issues that may arise when establishing a sterile area at an airport, and re</w:t>
            </w:r>
            <w:r w:rsidRPr="00C71B57">
              <w:noBreakHyphen/>
              <w:t>establishing it following either an intentional or unintentional breach, evacuation or equip</w:t>
            </w:r>
            <w:r w:rsidRPr="00C71B57">
              <w:t>ment failure</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Use appropriate communications equipment when establishing a sterile area at an airport and re</w:t>
            </w:r>
            <w:r w:rsidRPr="00C71B57">
              <w:noBreakHyphen/>
              <w:t>establishing it following either an intentional or unintentional breach, evacuation or equipment failure</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Complete required documentation involved when establishing a sterile area at an airport and re</w:t>
            </w:r>
            <w:r w:rsidRPr="00C71B57">
              <w:noBreakHyphen/>
              <w:t>establishing it following either an intentional or unintentional breach, evacuation or equipment failure</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Provide leadership and work collaboratively with other</w:t>
            </w:r>
            <w:r w:rsidRPr="00C71B57">
              <w:t>s when establishing a sterile area at an airport and re</w:t>
            </w:r>
            <w:r w:rsidRPr="00C71B57">
              <w:noBreakHyphen/>
              <w:t>establishing it following either an intentional or unintentional breach, evacuation or equipment failure</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Use appropriate customer service skills when establishing a sterile area at an airport and re</w:t>
            </w:r>
            <w:r w:rsidRPr="00C71B57">
              <w:noBreakHyphen/>
              <w:t>establishing it following either an intentional or unintentional breach, evacuation or equipment failure</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Take appropriate initiatives when establishing a sterile area at an airport and re</w:t>
            </w:r>
            <w:r w:rsidRPr="00C71B57">
              <w:noBreakHyphen/>
              <w:t xml:space="preserve">establishing it following either an intentional or unintentional </w:t>
            </w:r>
            <w:r w:rsidRPr="00C71B57">
              <w:t>breach, evacuation or equipment failure in accordance with the organisation’s standard operating procedures</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Plan, organise and monitor work activities when establishing a sterile area at an airport and re</w:t>
            </w:r>
            <w:r w:rsidRPr="00C71B57">
              <w:noBreakHyphen/>
              <w:t>establishing it following either an intentional o</w:t>
            </w:r>
            <w:r w:rsidRPr="00C71B57">
              <w:t>r unintentional breach, evacuation or equipment failure</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Modify activities dependent on differing workplace contingencies, risk situations and environments</w:t>
            </w:r>
          </w:p>
        </w:tc>
      </w:tr>
      <w:tr w:rsidTr="00C71B5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71B57" w:rsidP="00C71B57">
            <w:pPr>
              <w:pStyle w:val="ListBullet"/>
            </w:pPr>
            <w:r w:rsidRPr="00C71B57">
              <w:t>Identify, select, use and routinely check relevant equipment, processes and procedures when estab</w:t>
            </w:r>
            <w:r w:rsidRPr="00C71B57">
              <w:t>lishing a sterile area at an airport and re</w:t>
            </w:r>
            <w:r w:rsidRPr="00C71B57">
              <w:noBreakHyphen/>
              <w:t>establishing it following either an intentional or unintentional breach, evacuation or equipment failure</w:t>
            </w:r>
          </w:p>
        </w:tc>
      </w:tr>
    </w:tbl>
    <w:p w:rsidR="00000000" w:rsidRPr="00C71B57" w:rsidP="00C71B57">
      <w:pPr>
        <w:pStyle w:val="BodyText"/>
      </w:pPr>
    </w:p>
    <w:p w:rsidR="00000000" w:rsidRPr="00C71B57" w:rsidP="00C71B57">
      <w:pPr>
        <w:pStyle w:val="AllowPageBreak"/>
      </w:pPr>
    </w:p>
    <w:p w:rsidR="00000000" w:rsidRPr="00C71B57" w:rsidP="00C71B57">
      <w:pPr>
        <w:pStyle w:val="Heading1"/>
      </w:pPr>
      <w:bookmarkStart w:id="10" w:name="O_630871"/>
      <w:bookmarkEnd w:id="10"/>
      <w:r w:rsidRPr="00C71B57">
        <w:t>Evidence Guide</w:t>
      </w:r>
    </w:p>
    <w:tbl>
      <w:tblPr>
        <w:tblW w:w="9640" w:type="dxa"/>
        <w:tblLayout w:type="fixed"/>
        <w:tblCellMar>
          <w:left w:w="62" w:type="dxa"/>
          <w:right w:w="62" w:type="dxa"/>
        </w:tblCellMar>
        <w:tblLook w:val="0000"/>
      </w:tblPr>
      <w:tblGrid>
        <w:gridCol w:w="3378"/>
        <w:gridCol w:w="6262"/>
      </w:tblGrid>
      <w:tr w:rsidTr="00C71B5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The evidence guide provides advice on assessment and must be read in conjunction with the performance criteria, required knowledge and skills, the range statement and the assessment guidelines for this Training Package.</w:t>
            </w:r>
          </w:p>
        </w:tc>
      </w:tr>
      <w:tr w:rsidTr="00C71B57">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rPr>
                <w:rStyle w:val="SpecialBold"/>
              </w:rPr>
              <w:t>Critical aspects for assessment an</w:t>
            </w:r>
            <w:r w:rsidRPr="00C71B57">
              <w:rPr>
                <w:rStyle w:val="SpecialBold"/>
              </w:rPr>
              <w:t>d evidence required to demonstrate competency in this unit</w:t>
            </w:r>
          </w:p>
        </w:tc>
        <w:tc>
          <w:tcPr>
            <w:tcW w:w="6262" w:type="dxa"/>
            <w:tcBorders>
              <w:top w:val="nil"/>
              <w:left w:val="nil"/>
              <w:bottom w:val="nil"/>
              <w:right w:val="nil"/>
            </w:tcBorders>
            <w:tcMar>
              <w:top w:w="0" w:type="dxa"/>
              <w:left w:w="62" w:type="dxa"/>
              <w:bottom w:w="0" w:type="dxa"/>
              <w:right w:w="62" w:type="dxa"/>
            </w:tcMar>
          </w:tcPr>
          <w:p w:rsidR="00000000" w:rsidRPr="00C71B57" w:rsidP="00C71B57">
            <w:pPr>
              <w:pStyle w:val="BodyText"/>
            </w:pPr>
            <w:r w:rsidRPr="00C71B57">
              <w:t>The evidence required to demonstrate competency in this unit must be relevant to and satisfy all of the requirements of the elements and performance criteria of this unit and include:</w:t>
            </w:r>
          </w:p>
          <w:p w:rsidR="00000000" w:rsidRPr="00C71B57" w:rsidP="00C71B57">
            <w:pPr>
              <w:pStyle w:val="ListBullet"/>
            </w:pPr>
            <w:r w:rsidRPr="00C71B57">
              <w:t xml:space="preserve">demonstrate </w:t>
            </w:r>
            <w:r w:rsidRPr="00C71B57">
              <w:t>the ability to identify and establish a sterile area at an airport in accordance with workplace procedures</w:t>
            </w:r>
          </w:p>
          <w:p w:rsidR="00000000" w:rsidRPr="00C71B57" w:rsidP="00C71B57">
            <w:pPr>
              <w:pStyle w:val="ListBullet"/>
            </w:pPr>
            <w:r w:rsidRPr="00C71B57">
              <w:t>demonstrate the ability to identify when a sterile area at an airport has been breached</w:t>
            </w:r>
          </w:p>
          <w:p w:rsidR="00000000" w:rsidRPr="00C71B57" w:rsidP="00C71B57">
            <w:pPr>
              <w:pStyle w:val="ListBullet"/>
            </w:pPr>
            <w:r w:rsidRPr="00C71B57">
              <w:t>demonstrate the ability to take the correct action in the event of a breach of a sterile area at an airport in accordance with the organisation’s transport security program and workplace procedures</w:t>
            </w:r>
          </w:p>
          <w:p w:rsidR="00000000" w:rsidP="00C71B57">
            <w:pPr>
              <w:pStyle w:val="ListBullet"/>
              <w:rPr>
                <w:lang w:val="en-NZ"/>
              </w:rPr>
            </w:pPr>
            <w:r w:rsidRPr="00C71B57">
              <w:t>using the correct recording system, accurately report on a</w:t>
            </w:r>
            <w:r w:rsidRPr="00C71B57">
              <w:t xml:space="preserve"> breach, evacuation or equipment failure and when establishing and maintaining a sterile area at an airport.</w:t>
            </w:r>
          </w:p>
        </w:tc>
      </w:tr>
      <w:tr w:rsidTr="00C71B57">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rPr>
                <w:rStyle w:val="SpecialBold"/>
              </w:rPr>
              <w:t>Context of and specific resources for assessment</w:t>
            </w:r>
          </w:p>
        </w:tc>
        <w:tc>
          <w:tcPr>
            <w:tcW w:w="6262" w:type="dxa"/>
            <w:tcBorders>
              <w:top w:val="nil"/>
              <w:left w:val="nil"/>
              <w:bottom w:val="nil"/>
              <w:right w:val="nil"/>
            </w:tcBorders>
            <w:tcMar>
              <w:top w:w="0" w:type="dxa"/>
              <w:left w:w="62" w:type="dxa"/>
              <w:bottom w:w="0" w:type="dxa"/>
              <w:right w:w="62" w:type="dxa"/>
            </w:tcMar>
          </w:tcPr>
          <w:p w:rsidR="00000000" w:rsidRPr="00C71B57" w:rsidP="00C71B57">
            <w:pPr>
              <w:pStyle w:val="BodyText"/>
            </w:pPr>
            <w:r w:rsidRPr="00C71B57">
              <w:t>Performance is demonstrated consistently over a period of time and in a suitable range of context</w:t>
            </w:r>
            <w:r w:rsidRPr="00C71B57">
              <w:t>s.</w:t>
            </w:r>
          </w:p>
          <w:p w:rsidR="00000000" w:rsidRPr="00C71B57" w:rsidP="00C71B57">
            <w:pPr>
              <w:pStyle w:val="BodyText"/>
            </w:pPr>
            <w:r w:rsidRPr="00C71B57">
              <w:t>Resources for assessment include:</w:t>
            </w:r>
          </w:p>
          <w:p w:rsidR="00000000" w:rsidRPr="00C71B57" w:rsidP="00C71B57">
            <w:pPr>
              <w:pStyle w:val="ListBullet"/>
            </w:pPr>
            <w:r w:rsidRPr="00C71B57">
              <w:t>a range of relevant exercises, case studies and/or other simulated practical and knowledge assessment, and/or</w:t>
            </w:r>
          </w:p>
          <w:p w:rsidR="00000000" w:rsidRPr="00C71B57" w:rsidP="00C71B57">
            <w:pPr>
              <w:pStyle w:val="ListBullet"/>
            </w:pPr>
            <w:r w:rsidRPr="00C71B57">
              <w:t>access to an appropriate range of relevant operational situations in the workplace.</w:t>
            </w:r>
          </w:p>
          <w:p w:rsidR="00000000" w:rsidRPr="00C71B57" w:rsidP="00C71B57">
            <w:pPr>
              <w:pStyle w:val="BodyText"/>
            </w:pPr>
            <w:r w:rsidRPr="00C71B57">
              <w:t>In real environments, ac</w:t>
            </w:r>
            <w:r w:rsidRPr="00C71B57">
              <w:t>cess is required to:</w:t>
            </w:r>
          </w:p>
          <w:p w:rsidR="00000000" w:rsidRPr="00C71B57" w:rsidP="00C71B57">
            <w:pPr>
              <w:pStyle w:val="ListBullet"/>
            </w:pPr>
            <w:r w:rsidRPr="00C71B57">
              <w:t>relevant and appropriate materials and equipment, and</w:t>
            </w:r>
          </w:p>
          <w:p w:rsidR="00000000" w:rsidP="00C71B57">
            <w:pPr>
              <w:pStyle w:val="ListBullet"/>
              <w:rPr>
                <w:lang w:val="en-NZ"/>
              </w:rPr>
            </w:pPr>
            <w:r w:rsidRPr="00C71B57">
              <w:t>applicable documentation including workplace procedures, regulations, codes of practice and operation manuals.</w:t>
            </w:r>
          </w:p>
        </w:tc>
      </w:tr>
      <w:tr w:rsidTr="00C71B57">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rPr>
                <w:rStyle w:val="SpecialBold"/>
              </w:rPr>
              <w:t xml:space="preserve">Assessment for Passenger/Non-Passenger Screener and Checked Baggage </w:t>
            </w:r>
            <w:r w:rsidRPr="00C71B57">
              <w:rPr>
                <w:rStyle w:val="SpecialBold"/>
              </w:rPr>
              <w:t>Screener Roles</w:t>
            </w:r>
          </w:p>
        </w:tc>
        <w:tc>
          <w:tcPr>
            <w:tcW w:w="6262" w:type="dxa"/>
            <w:tcBorders>
              <w:top w:val="nil"/>
              <w:left w:val="nil"/>
              <w:bottom w:val="nil"/>
              <w:right w:val="nil"/>
            </w:tcBorders>
            <w:tcMar>
              <w:top w:w="0" w:type="dxa"/>
              <w:left w:w="62" w:type="dxa"/>
              <w:bottom w:w="0" w:type="dxa"/>
              <w:right w:w="62" w:type="dxa"/>
            </w:tcMar>
          </w:tcPr>
          <w:p w:rsidR="00000000" w:rsidRPr="00C71B57" w:rsidP="00C71B57">
            <w:pPr>
              <w:pStyle w:val="BodyText"/>
            </w:pPr>
            <w:r w:rsidRPr="00C71B57">
              <w:t>Assessment must:</w:t>
            </w:r>
          </w:p>
          <w:p w:rsidR="00000000" w:rsidRPr="00C71B57" w:rsidP="00C71B57">
            <w:pPr>
              <w:pStyle w:val="ListBullet"/>
            </w:pPr>
            <w:r w:rsidRPr="00C71B57">
              <w:t>be undertaken by a registered training organisation.</w:t>
            </w:r>
          </w:p>
          <w:p w:rsidR="00000000" w:rsidRPr="00C71B57" w:rsidP="00C71B57">
            <w:pPr>
              <w:pStyle w:val="BodyText"/>
            </w:pPr>
            <w:r w:rsidRPr="00C71B57">
              <w:t>Assessment of knowledge must:</w:t>
            </w:r>
          </w:p>
          <w:p w:rsidR="00000000" w:rsidRPr="00C71B57" w:rsidP="00C71B57">
            <w:pPr>
              <w:pStyle w:val="ListBullet"/>
            </w:pPr>
            <w:r w:rsidRPr="00C71B57">
              <w:t xml:space="preserve">be conducted through written/oral assessments. </w:t>
            </w:r>
          </w:p>
          <w:p w:rsidR="00000000" w:rsidRPr="00C71B57" w:rsidP="00C71B57">
            <w:pPr>
              <w:pStyle w:val="BodyText"/>
            </w:pPr>
            <w:r w:rsidRPr="00C71B57">
              <w:t>Practical assessment must:</w:t>
            </w:r>
          </w:p>
          <w:p w:rsidR="00000000" w:rsidRPr="00C71B57" w:rsidP="00C71B57">
            <w:pPr>
              <w:pStyle w:val="ListBullet"/>
            </w:pPr>
            <w:r w:rsidRPr="00C71B57">
              <w:t>be undertaken by a registered training organisation</w:t>
            </w:r>
          </w:p>
          <w:p w:rsidR="00000000" w:rsidRPr="00C71B57" w:rsidP="00C71B57">
            <w:pPr>
              <w:pStyle w:val="ListBullet"/>
            </w:pPr>
            <w:r w:rsidRPr="00C71B57">
              <w:t>occur in an appropriate range of situations in the workplace.</w:t>
            </w:r>
          </w:p>
        </w:tc>
      </w:tr>
    </w:tbl>
    <w:p w:rsidR="00000000" w:rsidRPr="00C71B57" w:rsidP="00C71B57">
      <w:pPr>
        <w:pStyle w:val="BodyText"/>
      </w:pPr>
    </w:p>
    <w:p w:rsidR="00000000" w:rsidRPr="00C71B57" w:rsidP="00C71B57">
      <w:pPr>
        <w:pStyle w:val="AllowPageBreak"/>
      </w:pPr>
    </w:p>
    <w:p w:rsidR="00000000" w:rsidRPr="00C71B57" w:rsidP="00C71B57">
      <w:pPr>
        <w:pStyle w:val="Heading1"/>
      </w:pPr>
      <w:bookmarkStart w:id="11" w:name="O_630872"/>
      <w:bookmarkEnd w:id="11"/>
      <w:r w:rsidRPr="00C71B57">
        <w:t>Range Statement</w:t>
      </w:r>
    </w:p>
    <w:tbl>
      <w:tblPr>
        <w:tblW w:w="9640" w:type="dxa"/>
        <w:tblLayout w:type="fixed"/>
        <w:tblCellMar>
          <w:left w:w="62" w:type="dxa"/>
          <w:right w:w="62" w:type="dxa"/>
        </w:tblCellMar>
        <w:tblLook w:val="0000"/>
      </w:tblPr>
      <w:tblGrid>
        <w:gridCol w:w="3339"/>
        <w:gridCol w:w="6301"/>
      </w:tblGrid>
      <w:tr w:rsidTr="00C71B5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The range statement relates to the unit of competency as a whole. It allows for different work environments and situations that may affect performance.</w:t>
            </w:r>
          </w:p>
        </w:tc>
      </w:tr>
      <w:tr w:rsidTr="00C71B57">
        <w:tblPrEx>
          <w:tblW w:w="9640" w:type="dxa"/>
          <w:tblLayout w:type="fixed"/>
          <w:tblCellMar>
            <w:left w:w="62" w:type="dxa"/>
            <w:right w:w="62" w:type="dxa"/>
          </w:tblCellMar>
          <w:tblLook w:val="0000"/>
        </w:tblPrEx>
        <w:trPr>
          <w:trHeight w:val="57"/>
        </w:trPr>
        <w:tc>
          <w:tcPr>
            <w:tcW w:w="3339"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Applicable legislation, regulations and codes may include:</w:t>
            </w:r>
          </w:p>
        </w:tc>
        <w:tc>
          <w:tcPr>
            <w:tcW w:w="6301" w:type="dxa"/>
            <w:tcBorders>
              <w:top w:val="nil"/>
              <w:left w:val="nil"/>
              <w:bottom w:val="nil"/>
              <w:right w:val="nil"/>
            </w:tcBorders>
            <w:tcMar>
              <w:top w:w="0" w:type="dxa"/>
              <w:left w:w="62" w:type="dxa"/>
              <w:bottom w:w="0" w:type="dxa"/>
              <w:right w:w="62" w:type="dxa"/>
            </w:tcMar>
          </w:tcPr>
          <w:p w:rsidR="00000000" w:rsidRPr="00C71B57" w:rsidP="00C71B57">
            <w:pPr>
              <w:pStyle w:val="ListBullet"/>
            </w:pPr>
            <w:r w:rsidRPr="00C71B57">
              <w:t>the Aviation Transport Security legislation and regulations</w:t>
            </w:r>
          </w:p>
          <w:p w:rsidR="00000000" w:rsidRPr="00C71B57" w:rsidP="00C71B57">
            <w:pPr>
              <w:pStyle w:val="ListBullet"/>
            </w:pPr>
            <w:r w:rsidRPr="00C71B57">
              <w:t xml:space="preserve">the organisation’s transport security program </w:t>
            </w:r>
          </w:p>
          <w:p w:rsidR="00000000" w:rsidP="00C71B57">
            <w:pPr>
              <w:pStyle w:val="ListBullet"/>
              <w:rPr>
                <w:lang w:val="en-NZ"/>
              </w:rPr>
            </w:pPr>
            <w:r w:rsidRPr="00C71B57">
              <w:t>Notices made under the Act and the Regulations</w:t>
            </w:r>
          </w:p>
        </w:tc>
      </w:tr>
      <w:tr w:rsidTr="00C71B57">
        <w:tblPrEx>
          <w:tblW w:w="9640" w:type="dxa"/>
          <w:tblLayout w:type="fixed"/>
          <w:tblCellMar>
            <w:left w:w="62" w:type="dxa"/>
            <w:right w:w="62" w:type="dxa"/>
          </w:tblCellMar>
          <w:tblLook w:val="0000"/>
        </w:tblPrEx>
        <w:trPr>
          <w:trHeight w:val="4173"/>
        </w:trPr>
        <w:tc>
          <w:tcPr>
            <w:tcW w:w="3339"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Organisational procedures or requirements</w:t>
            </w:r>
            <w:r w:rsidRPr="00C71B57">
              <w:t xml:space="preserve"> may relate to:</w:t>
            </w:r>
          </w:p>
        </w:tc>
        <w:tc>
          <w:tcPr>
            <w:tcW w:w="6301" w:type="dxa"/>
            <w:tcBorders>
              <w:top w:val="nil"/>
              <w:left w:val="nil"/>
              <w:bottom w:val="nil"/>
              <w:right w:val="nil"/>
            </w:tcBorders>
            <w:tcMar>
              <w:top w:w="0" w:type="dxa"/>
              <w:left w:w="62" w:type="dxa"/>
              <w:bottom w:w="0" w:type="dxa"/>
              <w:right w:w="62" w:type="dxa"/>
            </w:tcMar>
          </w:tcPr>
          <w:p w:rsidR="00000000" w:rsidRPr="00C71B57" w:rsidP="00C71B57">
            <w:pPr>
              <w:pStyle w:val="ListBullet"/>
            </w:pPr>
            <w:r w:rsidRPr="00C71B57">
              <w:t>applicable legislative requirements and aviation screening notices</w:t>
            </w:r>
          </w:p>
          <w:p w:rsidR="00000000" w:rsidRPr="00C71B57" w:rsidP="00C71B57">
            <w:pPr>
              <w:pStyle w:val="ListBullet"/>
            </w:pPr>
            <w:r w:rsidRPr="00C71B57">
              <w:t>access and equity policies, principles and practices</w:t>
            </w:r>
          </w:p>
          <w:p w:rsidR="00000000" w:rsidRPr="00C71B57" w:rsidP="00C71B57">
            <w:pPr>
              <w:pStyle w:val="ListBullet"/>
            </w:pPr>
            <w:r w:rsidRPr="00C71B57">
              <w:t>client service standards</w:t>
            </w:r>
          </w:p>
          <w:p w:rsidR="00000000" w:rsidRPr="00C71B57" w:rsidP="00C71B57">
            <w:pPr>
              <w:pStyle w:val="ListBullet"/>
            </w:pPr>
            <w:r w:rsidRPr="00C71B57">
              <w:t>code of conduct or ethics</w:t>
            </w:r>
          </w:p>
          <w:p w:rsidR="00000000" w:rsidRPr="00C71B57" w:rsidP="00C71B57">
            <w:pPr>
              <w:pStyle w:val="ListBullet"/>
            </w:pPr>
            <w:r w:rsidRPr="00C71B57">
              <w:t>communication and reporting procedures</w:t>
            </w:r>
          </w:p>
          <w:p w:rsidR="00000000" w:rsidRPr="00C71B57" w:rsidP="00C71B57">
            <w:pPr>
              <w:pStyle w:val="ListBullet"/>
            </w:pPr>
            <w:r w:rsidRPr="00C71B57">
              <w:t>complaint and dispute resolution procedures</w:t>
            </w:r>
          </w:p>
          <w:p w:rsidR="00000000" w:rsidRPr="00C71B57" w:rsidP="00C71B57">
            <w:pPr>
              <w:pStyle w:val="ListBullet"/>
            </w:pPr>
            <w:r w:rsidRPr="00C71B57">
              <w:t>emergency and evacuation procedures</w:t>
            </w:r>
          </w:p>
          <w:p w:rsidR="00000000" w:rsidRPr="00C71B57" w:rsidP="00C71B57">
            <w:pPr>
              <w:pStyle w:val="ListBullet"/>
            </w:pPr>
            <w:r w:rsidRPr="00C71B57">
              <w:t>employer and employee rights and responsibilities</w:t>
            </w:r>
          </w:p>
          <w:p w:rsidR="00000000" w:rsidRPr="00C71B57" w:rsidP="00C71B57">
            <w:pPr>
              <w:pStyle w:val="ListBullet"/>
            </w:pPr>
            <w:r w:rsidRPr="00C71B57">
              <w:t>equipment use and maintenance</w:t>
            </w:r>
          </w:p>
          <w:p w:rsidR="00000000" w:rsidRPr="00C71B57" w:rsidP="00C71B57">
            <w:pPr>
              <w:pStyle w:val="ListBullet"/>
            </w:pPr>
            <w:r w:rsidRPr="00C71B57">
              <w:t>occupational health and safety (WHS/OHS)</w:t>
            </w:r>
          </w:p>
          <w:p w:rsidR="00000000" w:rsidRPr="00C71B57" w:rsidP="00C71B57">
            <w:pPr>
              <w:pStyle w:val="ListBullet"/>
            </w:pPr>
            <w:r w:rsidRPr="00C71B57">
              <w:t>own role, responsibility and authority</w:t>
            </w:r>
          </w:p>
          <w:p w:rsidR="00000000" w:rsidRPr="00C71B57" w:rsidP="00C71B57">
            <w:pPr>
              <w:pStyle w:val="ListBullet"/>
            </w:pPr>
            <w:r w:rsidRPr="00C71B57">
              <w:t>privacy and conf</w:t>
            </w:r>
            <w:r w:rsidRPr="00C71B57">
              <w:t>identiality</w:t>
            </w:r>
          </w:p>
          <w:p w:rsidR="00000000" w:rsidP="00C71B57">
            <w:pPr>
              <w:pStyle w:val="ListBullet"/>
              <w:rPr>
                <w:lang w:val="en-NZ"/>
              </w:rPr>
            </w:pPr>
            <w:r w:rsidRPr="00C71B57">
              <w:t>standard operating procedures for screening</w:t>
            </w:r>
          </w:p>
        </w:tc>
      </w:tr>
      <w:tr w:rsidTr="00C71B57">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Establishment and re</w:t>
            </w:r>
            <w:r w:rsidRPr="00C71B57">
              <w:noBreakHyphen/>
              <w:t>establishment of sterile areas in the event of a breach may be performed at:</w:t>
            </w:r>
          </w:p>
        </w:tc>
        <w:tc>
          <w:tcPr>
            <w:tcW w:w="6301"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a security controlled airport with screened air services</w:t>
            </w:r>
          </w:p>
        </w:tc>
      </w:tr>
      <w:tr w:rsidTr="00C71B57">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A sterile area is:</w:t>
            </w:r>
          </w:p>
        </w:tc>
        <w:tc>
          <w:tcPr>
            <w:tcW w:w="6301"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a zone established to prevent cleared persons in the zone coming into contact with persons who have not been cleared, and to prevent cleared persons getting access to anything from outside the zone that has not been cleared</w:t>
            </w:r>
          </w:p>
        </w:tc>
      </w:tr>
      <w:tr w:rsidTr="00C71B57">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A breach is:</w:t>
            </w:r>
          </w:p>
        </w:tc>
        <w:tc>
          <w:tcPr>
            <w:tcW w:w="6301"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 xml:space="preserve">the unauthorised </w:t>
            </w:r>
            <w:r w:rsidRPr="00C71B57">
              <w:t>entry of persons or articles into a sterile area</w:t>
            </w:r>
          </w:p>
        </w:tc>
      </w:tr>
      <w:tr w:rsidTr="00C71B57">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An intentional breach of a sterile area is:</w:t>
            </w:r>
          </w:p>
        </w:tc>
        <w:tc>
          <w:tcPr>
            <w:tcW w:w="6301"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where the person(s) causing the breach intended to avoid screening or where there is doubt as to the intention of person(s) causing the breach</w:t>
            </w:r>
          </w:p>
        </w:tc>
      </w:tr>
      <w:tr w:rsidTr="00C71B57">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 xml:space="preserve">An unintentional </w:t>
            </w:r>
            <w:r w:rsidRPr="00C71B57">
              <w:t>breach of a sterile area is:</w:t>
            </w:r>
          </w:p>
        </w:tc>
        <w:tc>
          <w:tcPr>
            <w:tcW w:w="6301" w:type="dxa"/>
            <w:tcBorders>
              <w:top w:val="nil"/>
              <w:left w:val="nil"/>
              <w:bottom w:val="nil"/>
              <w:right w:val="nil"/>
            </w:tcBorders>
            <w:tcMar>
              <w:top w:w="0" w:type="dxa"/>
              <w:left w:w="62" w:type="dxa"/>
              <w:bottom w:w="0" w:type="dxa"/>
              <w:right w:w="62" w:type="dxa"/>
            </w:tcMar>
          </w:tcPr>
          <w:p w:rsidR="00000000" w:rsidP="00C71B57">
            <w:pPr>
              <w:pStyle w:val="ListBullet"/>
              <w:rPr>
                <w:lang w:val="en-NZ"/>
              </w:rPr>
            </w:pPr>
            <w:r w:rsidRPr="00C71B57">
              <w:t>where there has been a procedural breakdown by the airport, airline or the contracted security company concerned, or where an equipment failure has caused the breach</w:t>
            </w:r>
          </w:p>
        </w:tc>
      </w:tr>
      <w:tr w:rsidTr="00C71B57">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Breaches of a sterile area may include:</w:t>
            </w:r>
          </w:p>
        </w:tc>
        <w:tc>
          <w:tcPr>
            <w:tcW w:w="6301" w:type="dxa"/>
            <w:tcBorders>
              <w:top w:val="nil"/>
              <w:left w:val="nil"/>
              <w:bottom w:val="nil"/>
              <w:right w:val="nil"/>
            </w:tcBorders>
            <w:tcMar>
              <w:top w:w="0" w:type="dxa"/>
              <w:left w:w="62" w:type="dxa"/>
              <w:bottom w:w="0" w:type="dxa"/>
              <w:right w:w="62" w:type="dxa"/>
            </w:tcMar>
          </w:tcPr>
          <w:p w:rsidR="00000000" w:rsidRPr="00C71B57" w:rsidP="00C71B57">
            <w:pPr>
              <w:pStyle w:val="ListBullet"/>
            </w:pPr>
            <w:r w:rsidRPr="00C71B57">
              <w:t>a breach at a scre</w:t>
            </w:r>
            <w:r w:rsidRPr="00C71B57">
              <w:t>ening point where there is immediate detection of the unauthorised person(s) concerned</w:t>
            </w:r>
          </w:p>
          <w:p w:rsidR="00000000" w:rsidRPr="00C71B57" w:rsidP="00C71B57">
            <w:pPr>
              <w:pStyle w:val="ListBullet"/>
            </w:pPr>
            <w:r w:rsidRPr="00C71B57">
              <w:t>a breach at an access point (other than a screening point) where there is immediate detection of the unauthorised person(s) concerned</w:t>
            </w:r>
          </w:p>
          <w:p w:rsidR="00000000" w:rsidRPr="00C71B57" w:rsidP="00C71B57">
            <w:pPr>
              <w:pStyle w:val="ListBullet"/>
            </w:pPr>
            <w:r w:rsidRPr="00C71B57">
              <w:t>a breach at an access point where the unauthorised person(s) concerned is under constant observation</w:t>
            </w:r>
          </w:p>
          <w:p w:rsidR="00000000" w:rsidRPr="00C71B57" w:rsidP="00C71B57">
            <w:pPr>
              <w:pStyle w:val="ListBullet"/>
            </w:pPr>
            <w:r w:rsidRPr="00C71B57">
              <w:t>a breach at an access point (other than a screening point) where the unauthorised person(s) concerned is under constant observation</w:t>
            </w:r>
          </w:p>
          <w:p w:rsidR="00000000" w:rsidRPr="00C71B57" w:rsidP="00C71B57">
            <w:pPr>
              <w:pStyle w:val="ListBullet"/>
            </w:pPr>
            <w:r w:rsidRPr="00C71B57">
              <w:t xml:space="preserve">where the unauthorised </w:t>
            </w:r>
            <w:r w:rsidRPr="00C71B57">
              <w:t>person(s) concerned is not under constant supervision and the area of the breach can be isolated</w:t>
            </w:r>
          </w:p>
          <w:p w:rsidR="00000000" w:rsidP="00C71B57">
            <w:pPr>
              <w:pStyle w:val="ListBullet"/>
              <w:rPr>
                <w:lang w:val="en-NZ"/>
              </w:rPr>
            </w:pPr>
            <w:r w:rsidRPr="00C71B57">
              <w:t>where the unauthorised person(s) concerned is not under constant supervision and the area of the breach cannot be isolated</w:t>
            </w:r>
          </w:p>
        </w:tc>
      </w:tr>
      <w:tr w:rsidTr="00C71B57">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Information to be gathered by first</w:t>
            </w:r>
            <w:r w:rsidRPr="00C71B57">
              <w:t xml:space="preserve"> person aware of a security breach is:</w:t>
            </w:r>
          </w:p>
        </w:tc>
        <w:tc>
          <w:tcPr>
            <w:tcW w:w="6301" w:type="dxa"/>
            <w:tcBorders>
              <w:top w:val="nil"/>
              <w:left w:val="nil"/>
              <w:bottom w:val="nil"/>
              <w:right w:val="nil"/>
            </w:tcBorders>
            <w:tcMar>
              <w:top w:w="0" w:type="dxa"/>
              <w:left w:w="62" w:type="dxa"/>
              <w:bottom w:w="0" w:type="dxa"/>
              <w:right w:w="62" w:type="dxa"/>
            </w:tcMar>
          </w:tcPr>
          <w:p w:rsidR="00000000" w:rsidRPr="00C71B57" w:rsidP="00C71B57">
            <w:pPr>
              <w:pStyle w:val="ListBullet"/>
            </w:pPr>
            <w:r w:rsidRPr="00C71B57">
              <w:t>time of breach</w:t>
            </w:r>
          </w:p>
          <w:p w:rsidR="00000000" w:rsidRPr="00C71B57" w:rsidP="00C71B57">
            <w:pPr>
              <w:pStyle w:val="ListBullet"/>
            </w:pPr>
            <w:r w:rsidRPr="00C71B57">
              <w:t>particulars of the breach including where it occurred</w:t>
            </w:r>
          </w:p>
          <w:p w:rsidR="00000000" w:rsidRPr="00C71B57" w:rsidP="00C71B57">
            <w:pPr>
              <w:pStyle w:val="ListBullet"/>
            </w:pPr>
            <w:r w:rsidRPr="00C71B57">
              <w:t>details of the affected area</w:t>
            </w:r>
          </w:p>
          <w:p w:rsidR="00000000" w:rsidRPr="00C71B57" w:rsidP="00C71B57">
            <w:pPr>
              <w:pStyle w:val="ListBullet"/>
            </w:pPr>
            <w:r w:rsidRPr="00C71B57">
              <w:t>estimated number of persons in the affected area</w:t>
            </w:r>
          </w:p>
          <w:p w:rsidR="00000000" w:rsidP="00C71B57">
            <w:pPr>
              <w:pStyle w:val="ListBullet"/>
              <w:rPr>
                <w:lang w:val="en-NZ"/>
              </w:rPr>
            </w:pPr>
            <w:r w:rsidRPr="00C71B57">
              <w:t>details and description of the person(s) breaching security</w:t>
            </w:r>
          </w:p>
        </w:tc>
      </w:tr>
      <w:tr w:rsidTr="00C71B57">
        <w:tblPrEx>
          <w:tblW w:w="9640" w:type="dxa"/>
          <w:tblLayout w:type="fixed"/>
          <w:tblCellMar>
            <w:left w:w="62" w:type="dxa"/>
            <w:right w:w="62" w:type="dxa"/>
          </w:tblCellMar>
          <w:tblLook w:val="0000"/>
        </w:tblPrEx>
        <w:trPr>
          <w:trHeight w:val="57"/>
        </w:trPr>
        <w:tc>
          <w:tcPr>
            <w:tcW w:w="3339" w:type="dxa"/>
            <w:tcBorders>
              <w:top w:val="nil"/>
              <w:left w:val="nil"/>
              <w:bottom w:val="nil"/>
              <w:right w:val="nil"/>
            </w:tcBorders>
            <w:tcMar>
              <w:top w:w="0" w:type="dxa"/>
              <w:left w:w="62" w:type="dxa"/>
              <w:bottom w:w="0" w:type="dxa"/>
              <w:right w:w="62" w:type="dxa"/>
            </w:tcMar>
          </w:tcPr>
          <w:p w:rsidR="00000000" w:rsidP="00C71B57">
            <w:pPr>
              <w:pStyle w:val="BodyText"/>
              <w:rPr>
                <w:lang w:val="en-NZ"/>
              </w:rPr>
            </w:pPr>
            <w:r w:rsidRPr="00C71B57">
              <w:t>Searches</w:t>
            </w:r>
            <w:r w:rsidRPr="00C71B57">
              <w:t xml:space="preserve"> of sterile areas may include but are not limited to:</w:t>
            </w:r>
          </w:p>
        </w:tc>
        <w:tc>
          <w:tcPr>
            <w:tcW w:w="6301" w:type="dxa"/>
            <w:tcBorders>
              <w:top w:val="nil"/>
              <w:left w:val="nil"/>
              <w:bottom w:val="nil"/>
              <w:right w:val="nil"/>
            </w:tcBorders>
            <w:tcMar>
              <w:top w:w="0" w:type="dxa"/>
              <w:left w:w="62" w:type="dxa"/>
              <w:bottom w:w="0" w:type="dxa"/>
              <w:right w:w="62" w:type="dxa"/>
            </w:tcMar>
          </w:tcPr>
          <w:p w:rsidR="00000000" w:rsidRPr="00C71B57" w:rsidP="00C71B57">
            <w:pPr>
              <w:pStyle w:val="ListBullet"/>
            </w:pPr>
            <w:r w:rsidRPr="00C71B57">
              <w:t>areas accessible to the public, for example toilets, concessions, eating areas, aerobridges (if open), parenting rooms, gate lounges, passenger lounges</w:t>
            </w:r>
          </w:p>
          <w:p w:rsidR="00000000" w:rsidRPr="00C71B57" w:rsidP="00C71B57">
            <w:pPr>
              <w:pStyle w:val="ListBullet"/>
            </w:pPr>
            <w:r w:rsidRPr="00C71B57">
              <w:t>under seating and tables</w:t>
            </w:r>
          </w:p>
          <w:p w:rsidR="00000000" w:rsidRPr="00C71B57" w:rsidP="00C71B57">
            <w:pPr>
              <w:pStyle w:val="ListBullet"/>
            </w:pPr>
            <w:r w:rsidRPr="00C71B57">
              <w:t>rubbish bins</w:t>
            </w:r>
          </w:p>
          <w:p w:rsidR="00000000" w:rsidRPr="00C71B57" w:rsidP="00C71B57">
            <w:pPr>
              <w:pStyle w:val="ListBullet"/>
            </w:pPr>
            <w:r w:rsidRPr="00C71B57">
              <w:t>planter boxes</w:t>
            </w:r>
          </w:p>
        </w:tc>
      </w:tr>
    </w:tbl>
    <w:p w:rsidR="00000000" w:rsidRPr="00C71B57" w:rsidP="00C71B57">
      <w:pPr>
        <w:pStyle w:val="BodyText"/>
      </w:pPr>
    </w:p>
    <w:p w:rsidR="00000000" w:rsidRPr="00C71B57" w:rsidP="00C71B57">
      <w:pPr>
        <w:pStyle w:val="AllowPageBreak"/>
      </w:pPr>
    </w:p>
    <w:p w:rsidR="00000000" w:rsidRPr="00C71B57" w:rsidP="00C71B57">
      <w:pPr>
        <w:pStyle w:val="Heading1"/>
      </w:pPr>
      <w:bookmarkStart w:id="12" w:name="O_630873"/>
      <w:bookmarkEnd w:id="12"/>
      <w:r w:rsidRPr="00C71B57">
        <w:t>Unit Sector(s)</w:t>
      </w:r>
    </w:p>
    <w:p w:rsidR="00000000" w:rsidRPr="00C71B57" w:rsidP="00C71B57">
      <w:pPr>
        <w:pStyle w:val="BodyText"/>
      </w:pPr>
      <w:r w:rsidRPr="00C71B57">
        <w:t>Not applicable.</w:t>
      </w:r>
    </w:p>
    <w:p w:rsidR="00000000" w:rsidRPr="00C71B57" w:rsidP="00C71B57">
      <w:pPr>
        <w:pStyle w:val="AllowPageBreak"/>
      </w:pPr>
    </w:p>
    <w:p w:rsidR="00000000" w:rsidRPr="00C71B57" w:rsidP="00C71B57">
      <w:pPr>
        <w:pStyle w:val="Heading1"/>
      </w:pPr>
      <w:bookmarkStart w:id="13" w:name="O_630874"/>
      <w:bookmarkEnd w:id="13"/>
      <w:r w:rsidRPr="00C71B57">
        <w:t>Competency Field</w:t>
      </w:r>
    </w:p>
    <w:p w:rsidR="00000000" w:rsidRPr="00C71B57" w:rsidP="00C71B57">
      <w:pPr>
        <w:pStyle w:val="BodyText"/>
      </w:pPr>
      <w:r w:rsidRPr="00C71B57">
        <w:t>O – Security</w:t>
      </w:r>
    </w:p>
    <w:p w:rsidR="00000000" w:rsidRPr="00C71B57" w:rsidP="00C71B57"/>
    <w:sectPr w:rsidSect="00C71B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B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B57" w:rsidRPr="00D67CA1" w:rsidP="00D67C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B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CA1" w:rsidP="00C71B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67CA1" w:rsidP="00C71B5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67CA1" w:rsidP="00C71B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B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B57" w:rsidRPr="00D67CA1" w:rsidP="00D67C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B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CA1" w:rsidRPr="002D2AF8" w:rsidP="00C71B57">
    <w:pPr>
      <w:pStyle w:val="Header"/>
      <w:framePr w:wrap="around"/>
    </w:pPr>
    <w:r>
      <w:fldChar w:fldCharType="begin"/>
    </w:r>
    <w:r>
      <w:instrText xml:space="preserve"> TITLE   \* MERGEFORMAT </w:instrText>
    </w:r>
    <w:r>
      <w:fldChar w:fldCharType="separate"/>
    </w:r>
    <w:r>
      <w:t>AVIO2007B Establish and maintain a sterile area at an airport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D67CA1" w:rsidP="00C71B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0C4D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62B2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B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1B57"/>
    <w:pPr>
      <w:spacing w:before="360" w:after="60"/>
      <w:outlineLvl w:val="0"/>
    </w:pPr>
    <w:rPr>
      <w:sz w:val="32"/>
    </w:rPr>
  </w:style>
  <w:style w:type="paragraph" w:styleId="Heading2">
    <w:name w:val="heading 2"/>
    <w:basedOn w:val="HeadingBase"/>
    <w:next w:val="BodyText"/>
    <w:link w:val="Heading2Char"/>
    <w:qFormat/>
    <w:rsid w:val="00C71B57"/>
    <w:pPr>
      <w:keepLines/>
      <w:spacing w:before="240" w:after="120"/>
      <w:outlineLvl w:val="1"/>
    </w:pPr>
    <w:rPr>
      <w:sz w:val="28"/>
      <w:szCs w:val="40"/>
    </w:rPr>
  </w:style>
  <w:style w:type="paragraph" w:styleId="Heading3">
    <w:name w:val="heading 3"/>
    <w:basedOn w:val="HeadingBase"/>
    <w:next w:val="BodyText"/>
    <w:link w:val="Heading3Char"/>
    <w:qFormat/>
    <w:rsid w:val="00C71B57"/>
    <w:pPr>
      <w:spacing w:before="180" w:after="120"/>
      <w:outlineLvl w:val="2"/>
    </w:pPr>
    <w:rPr>
      <w:spacing w:val="-10"/>
      <w:kern w:val="32"/>
    </w:rPr>
  </w:style>
  <w:style w:type="paragraph" w:styleId="Heading4">
    <w:name w:val="heading 4"/>
    <w:basedOn w:val="HeadingBase"/>
    <w:next w:val="BodyText"/>
    <w:link w:val="Heading4Char"/>
    <w:qFormat/>
    <w:rsid w:val="00C71B57"/>
    <w:pPr>
      <w:spacing w:before="160" w:after="120"/>
      <w:outlineLvl w:val="3"/>
    </w:pPr>
    <w:rPr>
      <w:sz w:val="22"/>
    </w:rPr>
  </w:style>
  <w:style w:type="paragraph" w:styleId="Heading5">
    <w:name w:val="heading 5"/>
    <w:basedOn w:val="HeadingBase"/>
    <w:next w:val="Normal"/>
    <w:link w:val="Heading5Char"/>
    <w:qFormat/>
    <w:rsid w:val="00C71B57"/>
    <w:pPr>
      <w:spacing w:before="80"/>
      <w:outlineLvl w:val="4"/>
    </w:pPr>
    <w:rPr>
      <w:color w:val="918585"/>
      <w:sz w:val="20"/>
    </w:rPr>
  </w:style>
  <w:style w:type="paragraph" w:styleId="Heading6">
    <w:name w:val="heading 6"/>
    <w:basedOn w:val="HeadingBase"/>
    <w:next w:val="Normal"/>
    <w:link w:val="Heading6Char"/>
    <w:qFormat/>
    <w:rsid w:val="00C71B57"/>
    <w:pPr>
      <w:spacing w:before="60"/>
      <w:outlineLvl w:val="5"/>
    </w:pPr>
    <w:rPr>
      <w:color w:val="918585"/>
      <w:sz w:val="20"/>
    </w:rPr>
  </w:style>
  <w:style w:type="paragraph" w:styleId="Heading7">
    <w:name w:val="heading 7"/>
    <w:basedOn w:val="Normal"/>
    <w:next w:val="Normal"/>
    <w:link w:val="Heading7Char"/>
    <w:qFormat/>
    <w:rsid w:val="00C71B57"/>
    <w:pPr>
      <w:ind w:left="720"/>
      <w:outlineLvl w:val="6"/>
    </w:pPr>
    <w:rPr>
      <w:i/>
    </w:rPr>
  </w:style>
  <w:style w:type="paragraph" w:styleId="Heading8">
    <w:name w:val="heading 8"/>
    <w:basedOn w:val="Normal"/>
    <w:next w:val="Normal"/>
    <w:link w:val="Heading8Char"/>
    <w:qFormat/>
    <w:rsid w:val="00C71B57"/>
    <w:pPr>
      <w:ind w:left="720"/>
      <w:outlineLvl w:val="7"/>
    </w:pPr>
    <w:rPr>
      <w:i/>
    </w:rPr>
  </w:style>
  <w:style w:type="paragraph" w:styleId="Heading9">
    <w:name w:val="heading 9"/>
    <w:basedOn w:val="Normal"/>
    <w:next w:val="Normal"/>
    <w:link w:val="Heading9Char"/>
    <w:qFormat/>
    <w:rsid w:val="00C71B57"/>
    <w:pPr>
      <w:ind w:left="720"/>
      <w:outlineLvl w:val="8"/>
    </w:pPr>
    <w:rPr>
      <w:i/>
    </w:rPr>
  </w:style>
  <w:style w:type="character" w:default="1" w:styleId="DefaultParagraphFont">
    <w:name w:val="Default Paragraph Font"/>
    <w:uiPriority w:val="1"/>
    <w:unhideWhenUsed/>
    <w:rsid w:val="00C71B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B57"/>
  </w:style>
  <w:style w:type="character" w:customStyle="1" w:styleId="Heading1Char">
    <w:name w:val="Heading 1 Char"/>
    <w:basedOn w:val="DefaultParagraphFont"/>
    <w:link w:val="Heading1"/>
    <w:rsid w:val="00C71B57"/>
    <w:rPr>
      <w:rFonts w:ascii="Times New Roman" w:eastAsia="Times New Roman" w:hAnsi="Times New Roman" w:cs="Times New Roman"/>
      <w:b/>
      <w:sz w:val="32"/>
      <w:szCs w:val="20"/>
      <w:lang w:eastAsia="en-US"/>
    </w:rPr>
  </w:style>
  <w:style w:type="paragraph" w:styleId="BodyText">
    <w:name w:val="Body Text"/>
    <w:basedOn w:val="Normal"/>
    <w:link w:val="BodyTextChar"/>
    <w:rsid w:val="00C71B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1B57"/>
    <w:rPr>
      <w:rFonts w:ascii="Times New Roman" w:eastAsia="Times New Roman" w:hAnsi="Times New Roman" w:cs="Times New Roman"/>
      <w:sz w:val="24"/>
      <w:lang w:eastAsia="en-US"/>
    </w:rPr>
  </w:style>
  <w:style w:type="paragraph" w:styleId="ListBullet">
    <w:name w:val="List Bullet"/>
    <w:basedOn w:val="List"/>
    <w:rsid w:val="00C71B57"/>
    <w:pPr>
      <w:numPr>
        <w:numId w:val="12"/>
      </w:numPr>
      <w:tabs>
        <w:tab w:val="clear" w:pos="340"/>
      </w:tabs>
      <w:spacing w:before="40" w:after="40"/>
    </w:pPr>
  </w:style>
  <w:style w:type="character" w:customStyle="1" w:styleId="SpecialBold">
    <w:name w:val="Special Bold"/>
    <w:basedOn w:val="DefaultParagraphFont"/>
    <w:rsid w:val="00C71B57"/>
    <w:rPr>
      <w:b/>
      <w:spacing w:val="0"/>
    </w:rPr>
  </w:style>
  <w:style w:type="paragraph" w:customStyle="1" w:styleId="SuperHeading">
    <w:name w:val="SuperHeading"/>
    <w:basedOn w:val="Normal"/>
    <w:rsid w:val="00C71B57"/>
    <w:pPr>
      <w:spacing w:before="240" w:after="120"/>
      <w:outlineLvl w:val="0"/>
    </w:pPr>
    <w:rPr>
      <w:rFonts w:ascii="Times New Roman" w:hAnsi="Times New Roman"/>
      <w:b/>
      <w:sz w:val="32"/>
    </w:rPr>
  </w:style>
  <w:style w:type="paragraph" w:customStyle="1" w:styleId="AllowPageBreak">
    <w:name w:val="AllowPageBreak"/>
    <w:rsid w:val="00C71B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1B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B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B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B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B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B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1B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1B57"/>
    <w:rPr>
      <w:rFonts w:ascii="Courier New" w:eastAsia="Times New Roman" w:hAnsi="Courier New" w:cs="Times New Roman"/>
      <w:i/>
      <w:szCs w:val="20"/>
      <w:lang w:eastAsia="en-US"/>
    </w:rPr>
  </w:style>
  <w:style w:type="paragraph" w:customStyle="1" w:styleId="HeadingBase">
    <w:name w:val="Heading Base"/>
    <w:rsid w:val="00C71B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B57"/>
    <w:pPr>
      <w:tabs>
        <w:tab w:val="right" w:leader="dot" w:pos="9072"/>
      </w:tabs>
      <w:ind w:left="567"/>
    </w:pPr>
    <w:rPr>
      <w:szCs w:val="22"/>
    </w:rPr>
  </w:style>
  <w:style w:type="paragraph" w:customStyle="1" w:styleId="TOCBase">
    <w:name w:val="TOC Base"/>
    <w:rsid w:val="00C71B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B57"/>
    <w:pPr>
      <w:tabs>
        <w:tab w:val="right" w:leader="dot" w:pos="9072"/>
      </w:tabs>
      <w:spacing w:before="40" w:after="40"/>
      <w:ind w:left="284"/>
    </w:pPr>
    <w:rPr>
      <w:rFonts w:ascii="Times New Roman" w:hAnsi="Times New Roman"/>
    </w:rPr>
  </w:style>
  <w:style w:type="paragraph" w:styleId="TOC1">
    <w:name w:val="toc 1"/>
    <w:basedOn w:val="TOCBase"/>
    <w:next w:val="Normal"/>
    <w:rsid w:val="00C71B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1B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B57"/>
    <w:rPr>
      <w:rFonts w:ascii="Times New Roman" w:eastAsia="Times New Roman" w:hAnsi="Times New Roman" w:cs="Times New Roman"/>
      <w:sz w:val="16"/>
      <w:lang w:eastAsia="en-US"/>
    </w:rPr>
  </w:style>
  <w:style w:type="paragraph" w:styleId="Title">
    <w:name w:val="Title"/>
    <w:basedOn w:val="HeadingBase"/>
    <w:link w:val="TitleChar"/>
    <w:qFormat/>
    <w:rsid w:val="00C71B57"/>
    <w:pPr>
      <w:spacing w:before="5040"/>
      <w:jc w:val="center"/>
    </w:pPr>
    <w:rPr>
      <w:sz w:val="48"/>
      <w:szCs w:val="72"/>
      <w:lang w:val="en-US"/>
    </w:rPr>
  </w:style>
  <w:style w:type="character" w:customStyle="1" w:styleId="TitleChar">
    <w:name w:val="Title Char"/>
    <w:basedOn w:val="DefaultParagraphFont"/>
    <w:link w:val="Title"/>
    <w:rsid w:val="00C71B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B57"/>
    <w:pPr>
      <w:tabs>
        <w:tab w:val="left" w:pos="3600"/>
        <w:tab w:val="left" w:pos="3958"/>
      </w:tabs>
    </w:pPr>
  </w:style>
  <w:style w:type="paragraph" w:styleId="List">
    <w:name w:val="List"/>
    <w:basedOn w:val="BodyText"/>
    <w:next w:val="BodyText"/>
    <w:rsid w:val="00C71B57"/>
    <w:pPr>
      <w:tabs>
        <w:tab w:val="left" w:pos="340"/>
      </w:tabs>
      <w:spacing w:before="60" w:after="60"/>
      <w:ind w:left="340" w:hanging="340"/>
    </w:pPr>
  </w:style>
  <w:style w:type="paragraph" w:customStyle="1" w:styleId="Note">
    <w:name w:val="Note"/>
    <w:basedOn w:val="BodyText"/>
    <w:rsid w:val="00C71B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1B57"/>
    <w:pPr>
      <w:framePr w:wrap="auto" w:hAnchor="text" w:y="6049"/>
    </w:pPr>
    <w:rPr>
      <w:color w:val="000000"/>
      <w:sz w:val="40"/>
    </w:rPr>
  </w:style>
  <w:style w:type="paragraph" w:customStyle="1" w:styleId="TOCTitle">
    <w:name w:val="TOCTitle"/>
    <w:basedOn w:val="Heading1"/>
    <w:rsid w:val="00C71B57"/>
    <w:pPr>
      <w:spacing w:after="240"/>
      <w:jc w:val="center"/>
      <w:outlineLvl w:val="9"/>
    </w:pPr>
    <w:rPr>
      <w:caps/>
    </w:rPr>
  </w:style>
  <w:style w:type="paragraph" w:customStyle="1" w:styleId="Version">
    <w:name w:val="Version"/>
    <w:rsid w:val="00C71B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1B57"/>
    <w:pPr>
      <w:numPr>
        <w:numId w:val="13"/>
      </w:numPr>
      <w:tabs>
        <w:tab w:val="clear" w:pos="680"/>
      </w:tabs>
    </w:pPr>
  </w:style>
  <w:style w:type="paragraph" w:styleId="Index1">
    <w:name w:val="index 1"/>
    <w:basedOn w:val="Normal"/>
    <w:next w:val="Normal"/>
    <w:semiHidden/>
    <w:rsid w:val="00C71B57"/>
    <w:pPr>
      <w:keepNext w:val="0"/>
      <w:tabs>
        <w:tab w:val="right" w:pos="4176"/>
      </w:tabs>
      <w:ind w:left="198" w:hanging="198"/>
    </w:pPr>
    <w:rPr>
      <w:rFonts w:ascii="Garamond" w:hAnsi="Garamond"/>
    </w:rPr>
  </w:style>
  <w:style w:type="paragraph" w:styleId="IndexHeading">
    <w:name w:val="index heading"/>
    <w:basedOn w:val="Normal"/>
    <w:next w:val="Index1"/>
    <w:semiHidden/>
    <w:rsid w:val="00C71B57"/>
    <w:pPr>
      <w:spacing w:before="120" w:after="120"/>
    </w:pPr>
    <w:rPr>
      <w:rFonts w:ascii="Arial" w:hAnsi="Arial"/>
      <w:b/>
      <w:color w:val="918585"/>
      <w:sz w:val="24"/>
    </w:rPr>
  </w:style>
  <w:style w:type="paragraph" w:styleId="Header">
    <w:name w:val="header"/>
    <w:basedOn w:val="Normal"/>
    <w:link w:val="HeaderChar"/>
    <w:rsid w:val="00C71B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B57"/>
    <w:rPr>
      <w:rFonts w:ascii="Times New Roman" w:eastAsia="Times New Roman" w:hAnsi="Times New Roman" w:cs="Times New Roman"/>
      <w:sz w:val="16"/>
      <w:szCs w:val="20"/>
      <w:lang w:val="en-GB" w:eastAsia="en-US"/>
    </w:rPr>
  </w:style>
  <w:style w:type="paragraph" w:customStyle="1" w:styleId="Chapter">
    <w:name w:val="Chapter"/>
    <w:basedOn w:val="Normal"/>
    <w:rsid w:val="00C71B57"/>
    <w:pPr>
      <w:spacing w:before="240"/>
    </w:pPr>
    <w:rPr>
      <w:rFonts w:ascii="Times New Roman" w:hAnsi="Times New Roman"/>
      <w:smallCaps/>
      <w:spacing w:val="80"/>
      <w:sz w:val="28"/>
    </w:rPr>
  </w:style>
  <w:style w:type="paragraph" w:customStyle="1" w:styleId="InChapter">
    <w:name w:val="InChapter"/>
    <w:basedOn w:val="Heading3"/>
    <w:rsid w:val="00C71B57"/>
    <w:pPr>
      <w:spacing w:after="240"/>
      <w:outlineLvl w:val="9"/>
    </w:pPr>
    <w:rPr>
      <w:noProof/>
    </w:rPr>
  </w:style>
  <w:style w:type="paragraph" w:styleId="Index2">
    <w:name w:val="index 2"/>
    <w:basedOn w:val="Normal"/>
    <w:next w:val="Normal"/>
    <w:semiHidden/>
    <w:rsid w:val="00C71B57"/>
    <w:pPr>
      <w:tabs>
        <w:tab w:val="right" w:pos="4176"/>
      </w:tabs>
      <w:ind w:left="568" w:hanging="284"/>
    </w:pPr>
    <w:rPr>
      <w:rFonts w:ascii="Garamond" w:hAnsi="Garamond"/>
    </w:rPr>
  </w:style>
  <w:style w:type="paragraph" w:customStyle="1" w:styleId="Byline">
    <w:name w:val="Byline"/>
    <w:rsid w:val="00C71B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B57"/>
    <w:pPr>
      <w:tabs>
        <w:tab w:val="clear" w:pos="3600"/>
        <w:tab w:val="clear" w:pos="3958"/>
      </w:tabs>
      <w:jc w:val="right"/>
    </w:pPr>
  </w:style>
  <w:style w:type="character" w:styleId="Emphasis">
    <w:name w:val="Emphasis"/>
    <w:basedOn w:val="DefaultParagraphFont"/>
    <w:qFormat/>
    <w:rsid w:val="00C71B57"/>
    <w:rPr>
      <w:i/>
    </w:rPr>
  </w:style>
  <w:style w:type="paragraph" w:styleId="Caption">
    <w:name w:val="caption"/>
    <w:basedOn w:val="BodyText"/>
    <w:next w:val="Normal"/>
    <w:qFormat/>
    <w:rsid w:val="00C71B57"/>
    <w:pPr>
      <w:framePr w:w="2268" w:hSpace="181" w:vSpace="181" w:wrap="around" w:vAnchor="text" w:hAnchor="page" w:x="1135" w:y="285" w:anchorLock="1"/>
    </w:pPr>
    <w:rPr>
      <w:i/>
    </w:rPr>
  </w:style>
  <w:style w:type="paragraph" w:customStyle="1" w:styleId="MiniTOCTitle">
    <w:name w:val="MiniTOCTitle"/>
    <w:basedOn w:val="Heading4"/>
    <w:rsid w:val="00C71B57"/>
    <w:pPr>
      <w:spacing w:before="240"/>
      <w:outlineLvl w:val="9"/>
    </w:pPr>
    <w:rPr>
      <w:noProof/>
      <w:sz w:val="24"/>
    </w:rPr>
  </w:style>
  <w:style w:type="paragraph" w:customStyle="1" w:styleId="MiniTOCItem">
    <w:name w:val="MiniTOCItem"/>
    <w:basedOn w:val="ListBullet"/>
    <w:rsid w:val="00C71B57"/>
    <w:pPr>
      <w:numPr>
        <w:numId w:val="0"/>
      </w:numPr>
      <w:tabs>
        <w:tab w:val="right" w:leader="dot" w:pos="6521"/>
      </w:tabs>
      <w:spacing w:before="0" w:after="0"/>
    </w:pPr>
  </w:style>
  <w:style w:type="paragraph" w:customStyle="1" w:styleId="TOFTitle">
    <w:name w:val="TOFTitle"/>
    <w:basedOn w:val="TOCTitle"/>
    <w:rsid w:val="00C71B57"/>
  </w:style>
  <w:style w:type="paragraph" w:styleId="TableofFigures">
    <w:name w:val="table of figures"/>
    <w:basedOn w:val="Normal"/>
    <w:next w:val="Normal"/>
    <w:semiHidden/>
    <w:rsid w:val="00C71B57"/>
    <w:pPr>
      <w:tabs>
        <w:tab w:val="right" w:leader="dot" w:pos="9072"/>
      </w:tabs>
      <w:ind w:left="970" w:hanging="403"/>
    </w:pPr>
    <w:rPr>
      <w:rFonts w:ascii="Times New Roman" w:hAnsi="Times New Roman"/>
      <w:b/>
    </w:rPr>
  </w:style>
  <w:style w:type="paragraph" w:styleId="ListNumber">
    <w:name w:val="List Number"/>
    <w:basedOn w:val="List"/>
    <w:rsid w:val="00C71B57"/>
    <w:pPr>
      <w:numPr>
        <w:numId w:val="10"/>
      </w:numPr>
    </w:pPr>
  </w:style>
  <w:style w:type="character" w:customStyle="1" w:styleId="WingdingSymbols">
    <w:name w:val="Wingding Symbols"/>
    <w:rsid w:val="00C71B57"/>
    <w:rPr>
      <w:rFonts w:ascii="Wingdings" w:hAnsi="Wingdings"/>
    </w:rPr>
  </w:style>
  <w:style w:type="paragraph" w:customStyle="1" w:styleId="TableHeading">
    <w:name w:val="Table Heading"/>
    <w:basedOn w:val="HeadingBase"/>
    <w:rsid w:val="00C71B57"/>
    <w:pPr>
      <w:keepLines/>
      <w:pBdr>
        <w:bottom w:val="single" w:sz="6" w:space="1" w:color="918585"/>
      </w:pBdr>
      <w:spacing w:before="240"/>
    </w:pPr>
  </w:style>
  <w:style w:type="character" w:customStyle="1" w:styleId="HotSpot">
    <w:name w:val="HotSpot"/>
    <w:rsid w:val="00C71B57"/>
    <w:rPr>
      <w:color w:val="0033CC"/>
      <w:u w:val="none"/>
    </w:rPr>
  </w:style>
  <w:style w:type="paragraph" w:customStyle="1" w:styleId="BodyTextRight">
    <w:name w:val="Body Text Right"/>
    <w:basedOn w:val="BodyText"/>
    <w:rsid w:val="00C71B57"/>
    <w:pPr>
      <w:spacing w:before="0" w:after="0"/>
      <w:jc w:val="right"/>
    </w:pPr>
  </w:style>
  <w:style w:type="paragraph" w:styleId="Index3">
    <w:name w:val="index 3"/>
    <w:basedOn w:val="ListNumber2"/>
    <w:next w:val="Normal"/>
    <w:semiHidden/>
    <w:rsid w:val="00C71B57"/>
    <w:pPr>
      <w:numPr>
        <w:numId w:val="0"/>
      </w:numPr>
      <w:tabs>
        <w:tab w:val="right" w:leader="dot" w:pos="4176"/>
      </w:tabs>
    </w:pPr>
  </w:style>
  <w:style w:type="paragraph" w:styleId="ListNumber2">
    <w:name w:val="List Number 2"/>
    <w:basedOn w:val="List2"/>
    <w:rsid w:val="00C71B57"/>
    <w:pPr>
      <w:numPr>
        <w:numId w:val="9"/>
      </w:numPr>
      <w:tabs>
        <w:tab w:val="clear" w:pos="1060"/>
      </w:tabs>
    </w:pPr>
  </w:style>
  <w:style w:type="paragraph" w:customStyle="1" w:styleId="MarginNote">
    <w:name w:val="Margin Note"/>
    <w:basedOn w:val="BodyText"/>
    <w:rsid w:val="00C71B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B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B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1B57"/>
    <w:rPr>
      <w:sz w:val="32"/>
    </w:rPr>
  </w:style>
  <w:style w:type="paragraph" w:customStyle="1" w:styleId="HeadingProcedure">
    <w:name w:val="Heading Procedure"/>
    <w:basedOn w:val="HeadingBase"/>
    <w:next w:val="Normal"/>
    <w:rsid w:val="00C71B57"/>
    <w:pPr>
      <w:tabs>
        <w:tab w:val="left" w:pos="0"/>
      </w:tabs>
      <w:spacing w:before="120" w:after="60"/>
    </w:pPr>
    <w:rPr>
      <w:i/>
      <w:color w:val="918585"/>
      <w:sz w:val="22"/>
    </w:rPr>
  </w:style>
  <w:style w:type="paragraph" w:customStyle="1" w:styleId="TableBodyText">
    <w:name w:val="Table Body Text"/>
    <w:basedOn w:val="BodyText"/>
    <w:rsid w:val="00C71B57"/>
    <w:pPr>
      <w:spacing w:before="60" w:after="60"/>
    </w:pPr>
  </w:style>
  <w:style w:type="paragraph" w:styleId="ListContinue">
    <w:name w:val="List Continue"/>
    <w:basedOn w:val="List"/>
    <w:rsid w:val="00C71B57"/>
    <w:pPr>
      <w:ind w:firstLine="0"/>
    </w:pPr>
  </w:style>
  <w:style w:type="paragraph" w:customStyle="1" w:styleId="ListNote">
    <w:name w:val="List Note"/>
    <w:basedOn w:val="List"/>
    <w:rsid w:val="00C71B57"/>
    <w:pPr>
      <w:pBdr>
        <w:top w:val="single" w:sz="6" w:space="2" w:color="918585"/>
        <w:bottom w:val="single" w:sz="6" w:space="2" w:color="918585"/>
      </w:pBdr>
      <w:tabs>
        <w:tab w:val="left" w:pos="1021"/>
      </w:tabs>
      <w:ind w:firstLine="0"/>
    </w:pPr>
  </w:style>
  <w:style w:type="paragraph" w:customStyle="1" w:styleId="Warning">
    <w:name w:val="Warning"/>
    <w:basedOn w:val="BodyText"/>
    <w:rsid w:val="00C71B57"/>
    <w:pPr>
      <w:shd w:val="clear" w:color="auto" w:fill="D9D9D9"/>
      <w:tabs>
        <w:tab w:val="left" w:pos="992"/>
      </w:tabs>
      <w:ind w:left="119" w:right="119"/>
    </w:pPr>
    <w:rPr>
      <w:sz w:val="20"/>
    </w:rPr>
  </w:style>
  <w:style w:type="paragraph" w:customStyle="1" w:styleId="MarginIcons">
    <w:name w:val="Margin Icons"/>
    <w:basedOn w:val="BodyText"/>
    <w:rsid w:val="00C71B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B57"/>
    <w:rPr>
      <w:rFonts w:ascii="Courier New" w:hAnsi="Courier New"/>
    </w:rPr>
  </w:style>
  <w:style w:type="paragraph" w:customStyle="1" w:styleId="NoteBullet">
    <w:name w:val="Note Bullet"/>
    <w:basedOn w:val="Note"/>
    <w:rsid w:val="00C71B57"/>
    <w:pPr>
      <w:tabs>
        <w:tab w:val="clear" w:pos="680"/>
      </w:tabs>
      <w:spacing w:before="60" w:after="60"/>
    </w:pPr>
  </w:style>
  <w:style w:type="paragraph" w:customStyle="1" w:styleId="SubHeading2">
    <w:name w:val="SubHeading2"/>
    <w:basedOn w:val="HeadingBase"/>
    <w:rsid w:val="00C71B57"/>
    <w:pPr>
      <w:spacing w:before="240" w:after="60"/>
    </w:pPr>
    <w:rPr>
      <w:sz w:val="20"/>
    </w:rPr>
  </w:style>
  <w:style w:type="paragraph" w:customStyle="1" w:styleId="SubHeading1">
    <w:name w:val="SubHeading1"/>
    <w:basedOn w:val="HeadingBase"/>
    <w:rsid w:val="00C71B57"/>
    <w:pPr>
      <w:spacing w:before="240" w:after="60"/>
    </w:pPr>
    <w:rPr>
      <w:color w:val="918585"/>
      <w:sz w:val="22"/>
    </w:rPr>
  </w:style>
  <w:style w:type="paragraph" w:customStyle="1" w:styleId="SideHeading">
    <w:name w:val="Side Heading"/>
    <w:basedOn w:val="HeadingBase"/>
    <w:rsid w:val="00C71B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B57"/>
    <w:pPr>
      <w:tabs>
        <w:tab w:val="num" w:pos="360"/>
      </w:tabs>
    </w:pPr>
  </w:style>
  <w:style w:type="paragraph" w:styleId="PlainText">
    <w:name w:val="Plain Text"/>
    <w:basedOn w:val="Normal"/>
    <w:link w:val="PlainTextChar"/>
    <w:rsid w:val="00C71B57"/>
    <w:rPr>
      <w:sz w:val="20"/>
    </w:rPr>
  </w:style>
  <w:style w:type="character" w:customStyle="1" w:styleId="PlainTextChar">
    <w:name w:val="Plain Text Char"/>
    <w:basedOn w:val="DefaultParagraphFont"/>
    <w:link w:val="PlainText"/>
    <w:rsid w:val="00C71B57"/>
    <w:rPr>
      <w:rFonts w:ascii="Courier New" w:eastAsia="Times New Roman" w:hAnsi="Courier New" w:cs="Times New Roman"/>
      <w:sz w:val="20"/>
      <w:szCs w:val="20"/>
      <w:lang w:eastAsia="en-US"/>
    </w:rPr>
  </w:style>
  <w:style w:type="character" w:customStyle="1" w:styleId="MenuOption">
    <w:name w:val="Menu Option"/>
    <w:basedOn w:val="DefaultParagraphFont"/>
    <w:rsid w:val="00C71B57"/>
    <w:rPr>
      <w:b/>
      <w:smallCaps/>
    </w:rPr>
  </w:style>
  <w:style w:type="paragraph" w:customStyle="1" w:styleId="TableListNumber">
    <w:name w:val="Table List Number"/>
    <w:basedOn w:val="ListNumber"/>
    <w:rsid w:val="00C71B57"/>
    <w:pPr>
      <w:numPr>
        <w:numId w:val="0"/>
      </w:numPr>
    </w:pPr>
  </w:style>
  <w:style w:type="paragraph" w:styleId="TOC4">
    <w:name w:val="toc 4"/>
    <w:basedOn w:val="TOCBase"/>
    <w:next w:val="Normal"/>
    <w:semiHidden/>
    <w:rsid w:val="00C71B57"/>
    <w:pPr>
      <w:tabs>
        <w:tab w:val="right" w:leader="dot" w:pos="9071"/>
      </w:tabs>
      <w:ind w:left="1701"/>
    </w:pPr>
  </w:style>
  <w:style w:type="paragraph" w:customStyle="1" w:styleId="ListAlpha">
    <w:name w:val="List Alpha"/>
    <w:basedOn w:val="List"/>
    <w:rsid w:val="00C71B57"/>
    <w:pPr>
      <w:numPr>
        <w:numId w:val="8"/>
      </w:numPr>
    </w:pPr>
  </w:style>
  <w:style w:type="paragraph" w:customStyle="1" w:styleId="ListAlpha2">
    <w:name w:val="List Alpha 2"/>
    <w:basedOn w:val="List2"/>
    <w:rsid w:val="00C71B57"/>
    <w:pPr>
      <w:numPr>
        <w:numId w:val="7"/>
      </w:numPr>
    </w:pPr>
  </w:style>
  <w:style w:type="paragraph" w:styleId="List2">
    <w:name w:val="List 2"/>
    <w:basedOn w:val="BodyText"/>
    <w:rsid w:val="00C71B57"/>
    <w:pPr>
      <w:tabs>
        <w:tab w:val="left" w:pos="680"/>
      </w:tabs>
      <w:spacing w:before="60" w:after="60"/>
      <w:ind w:left="680" w:hanging="340"/>
    </w:pPr>
  </w:style>
  <w:style w:type="paragraph" w:styleId="List3">
    <w:name w:val="List 3"/>
    <w:basedOn w:val="BodyText"/>
    <w:rsid w:val="00C71B57"/>
    <w:pPr>
      <w:tabs>
        <w:tab w:val="left" w:pos="1021"/>
      </w:tabs>
      <w:spacing w:before="60" w:after="60"/>
      <w:ind w:left="1020" w:hanging="340"/>
    </w:pPr>
  </w:style>
  <w:style w:type="paragraph" w:styleId="List4">
    <w:name w:val="List 4"/>
    <w:basedOn w:val="BodyText"/>
    <w:rsid w:val="00C71B57"/>
    <w:pPr>
      <w:tabs>
        <w:tab w:val="left" w:pos="1361"/>
      </w:tabs>
      <w:spacing w:before="60" w:after="60"/>
      <w:ind w:left="1361" w:hanging="340"/>
    </w:pPr>
  </w:style>
  <w:style w:type="paragraph" w:styleId="List5">
    <w:name w:val="List 5"/>
    <w:basedOn w:val="BodyText"/>
    <w:rsid w:val="00C71B57"/>
    <w:pPr>
      <w:tabs>
        <w:tab w:val="left" w:pos="1701"/>
      </w:tabs>
      <w:spacing w:before="60" w:after="60"/>
      <w:ind w:left="1701" w:hanging="340"/>
    </w:pPr>
  </w:style>
  <w:style w:type="paragraph" w:styleId="ListBullet3">
    <w:name w:val="List Bullet 3"/>
    <w:basedOn w:val="List3"/>
    <w:rsid w:val="00C71B57"/>
    <w:pPr>
      <w:numPr>
        <w:numId w:val="14"/>
      </w:numPr>
      <w:tabs>
        <w:tab w:val="clear" w:pos="1021"/>
      </w:tabs>
      <w:ind w:left="1037" w:hanging="357"/>
    </w:pPr>
  </w:style>
  <w:style w:type="paragraph" w:styleId="ListBullet4">
    <w:name w:val="List Bullet 4"/>
    <w:basedOn w:val="List4"/>
    <w:rsid w:val="00C71B57"/>
    <w:pPr>
      <w:numPr>
        <w:numId w:val="2"/>
      </w:numPr>
    </w:pPr>
  </w:style>
  <w:style w:type="paragraph" w:styleId="ListBullet5">
    <w:name w:val="List Bullet 5"/>
    <w:basedOn w:val="List5"/>
    <w:rsid w:val="00C71B57"/>
    <w:pPr>
      <w:numPr>
        <w:numId w:val="3"/>
      </w:numPr>
    </w:pPr>
  </w:style>
  <w:style w:type="paragraph" w:styleId="ListContinue2">
    <w:name w:val="List Continue 2"/>
    <w:basedOn w:val="List2"/>
    <w:rsid w:val="00C71B57"/>
    <w:pPr>
      <w:ind w:firstLine="0"/>
    </w:pPr>
  </w:style>
  <w:style w:type="paragraph" w:styleId="ListContinue3">
    <w:name w:val="List Continue 3"/>
    <w:basedOn w:val="List3"/>
    <w:rsid w:val="00C71B57"/>
    <w:pPr>
      <w:ind w:left="1021" w:firstLine="0"/>
    </w:pPr>
  </w:style>
  <w:style w:type="paragraph" w:styleId="ListContinue4">
    <w:name w:val="List Continue 4"/>
    <w:basedOn w:val="List4"/>
    <w:rsid w:val="00C71B57"/>
    <w:pPr>
      <w:ind w:firstLine="0"/>
    </w:pPr>
  </w:style>
  <w:style w:type="paragraph" w:styleId="ListContinue5">
    <w:name w:val="List Continue 5"/>
    <w:basedOn w:val="List5"/>
    <w:rsid w:val="00C71B57"/>
    <w:pPr>
      <w:ind w:firstLine="0"/>
    </w:pPr>
  </w:style>
  <w:style w:type="paragraph" w:styleId="ListNumber3">
    <w:name w:val="List Number 3"/>
    <w:basedOn w:val="List3"/>
    <w:rsid w:val="00C71B57"/>
    <w:pPr>
      <w:numPr>
        <w:numId w:val="4"/>
      </w:numPr>
    </w:pPr>
  </w:style>
  <w:style w:type="paragraph" w:styleId="ListNumber4">
    <w:name w:val="List Number 4"/>
    <w:basedOn w:val="List4"/>
    <w:rsid w:val="00C71B57"/>
    <w:pPr>
      <w:numPr>
        <w:numId w:val="5"/>
      </w:numPr>
    </w:pPr>
  </w:style>
  <w:style w:type="paragraph" w:styleId="ListNumber5">
    <w:name w:val="List Number 5"/>
    <w:basedOn w:val="List5"/>
    <w:rsid w:val="00C71B57"/>
    <w:pPr>
      <w:numPr>
        <w:numId w:val="6"/>
      </w:numPr>
    </w:pPr>
  </w:style>
  <w:style w:type="paragraph" w:styleId="BlockText">
    <w:name w:val="Block Text"/>
    <w:basedOn w:val="Normal"/>
    <w:rsid w:val="00C71B57"/>
    <w:pPr>
      <w:spacing w:after="120"/>
      <w:ind w:left="1440" w:right="1440"/>
    </w:pPr>
  </w:style>
  <w:style w:type="character" w:customStyle="1" w:styleId="Subscript">
    <w:name w:val="Subscript"/>
    <w:basedOn w:val="DefaultParagraphFont"/>
    <w:rsid w:val="00C71B57"/>
    <w:rPr>
      <w:sz w:val="16"/>
      <w:vertAlign w:val="subscript"/>
    </w:rPr>
  </w:style>
  <w:style w:type="character" w:customStyle="1" w:styleId="Superscript">
    <w:name w:val="Superscript"/>
    <w:basedOn w:val="DefaultParagraphFont"/>
    <w:rsid w:val="00C71B57"/>
    <w:rPr>
      <w:sz w:val="16"/>
      <w:vertAlign w:val="superscript"/>
    </w:rPr>
  </w:style>
  <w:style w:type="character" w:customStyle="1" w:styleId="Symbols">
    <w:name w:val="Symbols"/>
    <w:basedOn w:val="DefaultParagraphFont"/>
    <w:rsid w:val="00C71B57"/>
    <w:rPr>
      <w:rFonts w:ascii="Symbol" w:hAnsi="Symbol"/>
    </w:rPr>
  </w:style>
  <w:style w:type="character" w:customStyle="1" w:styleId="MenuOptions">
    <w:name w:val="Menu Options"/>
    <w:basedOn w:val="DefaultParagraphFont"/>
    <w:rsid w:val="00C71B57"/>
    <w:rPr>
      <w:rFonts w:ascii="Arial Narrow" w:hAnsi="Arial Narrow"/>
      <w:smallCaps/>
    </w:rPr>
  </w:style>
  <w:style w:type="character" w:customStyle="1" w:styleId="Buttons">
    <w:name w:val="Buttons"/>
    <w:basedOn w:val="DefaultParagraphFont"/>
    <w:rsid w:val="00C71B57"/>
    <w:rPr>
      <w:b/>
    </w:rPr>
  </w:style>
  <w:style w:type="character" w:customStyle="1" w:styleId="Underlined">
    <w:name w:val="Underlined"/>
    <w:basedOn w:val="DefaultParagraphFont"/>
    <w:rsid w:val="00C71B57"/>
    <w:rPr>
      <w:u w:val="single"/>
    </w:rPr>
  </w:style>
  <w:style w:type="paragraph" w:customStyle="1" w:styleId="TableBodyTextRight">
    <w:name w:val="Table Body Text Right"/>
    <w:basedOn w:val="TableBodyText"/>
    <w:rsid w:val="00C71B57"/>
    <w:pPr>
      <w:widowControl w:val="0"/>
      <w:autoSpaceDE w:val="0"/>
      <w:autoSpaceDN w:val="0"/>
      <w:adjustRightInd w:val="0"/>
      <w:jc w:val="right"/>
    </w:pPr>
    <w:rPr>
      <w:rFonts w:cs="Arial"/>
      <w:szCs w:val="18"/>
    </w:rPr>
  </w:style>
  <w:style w:type="paragraph" w:customStyle="1" w:styleId="CopyrightText">
    <w:name w:val="Copyright Text"/>
    <w:basedOn w:val="BodyText"/>
    <w:rsid w:val="00C71B57"/>
    <w:rPr>
      <w:sz w:val="18"/>
    </w:rPr>
  </w:style>
  <w:style w:type="paragraph" w:customStyle="1" w:styleId="BodySmallRight">
    <w:name w:val="Body Small Right"/>
    <w:basedOn w:val="BodyTextRight"/>
    <w:rsid w:val="00C71B57"/>
    <w:rPr>
      <w:sz w:val="18"/>
      <w:szCs w:val="18"/>
    </w:rPr>
  </w:style>
  <w:style w:type="paragraph" w:customStyle="1" w:styleId="MarginEdition">
    <w:name w:val="Margin Edition"/>
    <w:basedOn w:val="MarginNote"/>
    <w:rsid w:val="00C71B57"/>
    <w:pPr>
      <w:spacing w:before="0" w:after="0"/>
    </w:pPr>
    <w:rPr>
      <w:rFonts w:ascii="Times New Roman" w:hAnsi="Times New Roman"/>
      <w:color w:val="999999"/>
    </w:rPr>
  </w:style>
  <w:style w:type="paragraph" w:customStyle="1" w:styleId="Spacer">
    <w:name w:val="Spacer"/>
    <w:basedOn w:val="Normal"/>
    <w:rsid w:val="00C71B57"/>
    <w:rPr>
      <w:sz w:val="2"/>
      <w:szCs w:val="2"/>
    </w:rPr>
  </w:style>
  <w:style w:type="character" w:customStyle="1" w:styleId="Small">
    <w:name w:val="Small"/>
    <w:basedOn w:val="DefaultParagraphFont"/>
    <w:rsid w:val="00C71B57"/>
    <w:rPr>
      <w:sz w:val="16"/>
    </w:rPr>
  </w:style>
  <w:style w:type="paragraph" w:customStyle="1" w:styleId="WideTable">
    <w:name w:val="Wide Table"/>
    <w:basedOn w:val="Normal"/>
    <w:rsid w:val="00C71B57"/>
    <w:pPr>
      <w:ind w:left="-1418"/>
    </w:pPr>
    <w:rPr>
      <w:sz w:val="2"/>
      <w:szCs w:val="2"/>
    </w:rPr>
  </w:style>
  <w:style w:type="character" w:styleId="PageNumber">
    <w:name w:val="page number"/>
    <w:basedOn w:val="DefaultParagraphFont"/>
    <w:rsid w:val="00C71B57"/>
  </w:style>
  <w:style w:type="paragraph" w:styleId="Quote">
    <w:name w:val="Quote"/>
    <w:basedOn w:val="Heading1"/>
    <w:link w:val="QuoteChar"/>
    <w:qFormat/>
    <w:rsid w:val="00C71B57"/>
    <w:rPr>
      <w:b w:val="0"/>
      <w:sz w:val="72"/>
      <w:szCs w:val="72"/>
      <w:lang w:val="en-NZ"/>
    </w:rPr>
  </w:style>
  <w:style w:type="character" w:customStyle="1" w:styleId="QuoteChar">
    <w:name w:val="Quote Char"/>
    <w:basedOn w:val="DefaultParagraphFont"/>
    <w:link w:val="Quote"/>
    <w:rsid w:val="00C71B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B57"/>
    <w:pPr>
      <w:pageBreakBefore/>
    </w:pPr>
  </w:style>
  <w:style w:type="paragraph" w:customStyle="1" w:styleId="Border">
    <w:name w:val="Border"/>
    <w:basedOn w:val="Normal"/>
    <w:qFormat/>
    <w:rsid w:val="00C71B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B57"/>
    <w:rPr>
      <w:b/>
      <w:bCs/>
      <w:i/>
      <w:iCs/>
      <w:color w:val="auto"/>
    </w:rPr>
  </w:style>
  <w:style w:type="paragraph" w:styleId="IntenseQuote">
    <w:name w:val="Intense Quote"/>
    <w:basedOn w:val="Normal"/>
    <w:next w:val="Normal"/>
    <w:link w:val="IntenseQuoteChar"/>
    <w:uiPriority w:val="30"/>
    <w:qFormat/>
    <w:rsid w:val="00C71B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B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1B57"/>
    <w:rPr>
      <w:smallCaps/>
      <w:color w:val="auto"/>
      <w:u w:val="single"/>
    </w:rPr>
  </w:style>
  <w:style w:type="character" w:styleId="IntenseReference">
    <w:name w:val="Intense Reference"/>
    <w:basedOn w:val="DefaultParagraphFont"/>
    <w:uiPriority w:val="32"/>
    <w:qFormat/>
    <w:rsid w:val="00C71B57"/>
    <w:rPr>
      <w:b/>
      <w:bCs/>
      <w:smallCaps/>
      <w:color w:val="auto"/>
      <w:spacing w:val="5"/>
      <w:u w:val="single"/>
    </w:rPr>
  </w:style>
  <w:style w:type="paragraph" w:customStyle="1" w:styleId="2ColumnHeading">
    <w:name w:val="2Column Heading"/>
    <w:basedOn w:val="BodyText"/>
    <w:qFormat/>
    <w:rsid w:val="00C71B57"/>
    <w:pPr>
      <w:spacing w:after="60"/>
      <w:ind w:left="-2268"/>
    </w:pPr>
    <w:rPr>
      <w:b/>
    </w:rPr>
  </w:style>
  <w:style w:type="paragraph" w:customStyle="1" w:styleId="Heading1TOC">
    <w:name w:val="Heading1 TOC"/>
    <w:basedOn w:val="Normal"/>
    <w:qFormat/>
    <w:rsid w:val="00C71B57"/>
    <w:pPr>
      <w:spacing w:before="240" w:after="120"/>
    </w:pPr>
    <w:rPr>
      <w:rFonts w:ascii="Times New Roman" w:hAnsi="Times New Roman"/>
      <w:b/>
      <w:sz w:val="32"/>
    </w:rPr>
  </w:style>
  <w:style w:type="paragraph" w:customStyle="1" w:styleId="Heading2TOC">
    <w:name w:val="Heading2 TOC"/>
    <w:basedOn w:val="Normal"/>
    <w:qFormat/>
    <w:rsid w:val="00C71B57"/>
    <w:pPr>
      <w:spacing w:before="240" w:after="60"/>
    </w:pPr>
    <w:rPr>
      <w:rFonts w:ascii="Times New Roman" w:hAnsi="Times New Roman"/>
      <w:b/>
      <w:sz w:val="28"/>
    </w:rPr>
  </w:style>
  <w:style w:type="character" w:customStyle="1" w:styleId="Underline">
    <w:name w:val="Underline"/>
    <w:basedOn w:val="DefaultParagraphFont"/>
    <w:qFormat/>
    <w:rsid w:val="00C71B57"/>
    <w:rPr>
      <w:u w:val="single"/>
    </w:rPr>
  </w:style>
  <w:style w:type="character" w:customStyle="1" w:styleId="BoldandItalics">
    <w:name w:val="Bold and Italics"/>
    <w:qFormat/>
    <w:rsid w:val="00C71B57"/>
    <w:rPr>
      <w:b/>
      <w:i/>
      <w:u w:val="none"/>
    </w:rPr>
  </w:style>
  <w:style w:type="paragraph" w:styleId="BalloonText">
    <w:name w:val="Balloon Text"/>
    <w:basedOn w:val="Normal"/>
    <w:link w:val="BalloonTextChar"/>
    <w:rsid w:val="00C71B57"/>
    <w:rPr>
      <w:rFonts w:ascii="Tahoma" w:hAnsi="Tahoma" w:cs="Tahoma"/>
      <w:sz w:val="16"/>
      <w:szCs w:val="16"/>
    </w:rPr>
  </w:style>
  <w:style w:type="character" w:customStyle="1" w:styleId="BalloonTextChar">
    <w:name w:val="Balloon Text Char"/>
    <w:basedOn w:val="DefaultParagraphFont"/>
    <w:link w:val="BalloonText"/>
    <w:rsid w:val="00C71B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1B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1B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1B57"/>
    <w:rPr>
      <w:b/>
      <w:color w:val="660033"/>
      <w:spacing w:val="0"/>
    </w:rPr>
  </w:style>
  <w:style w:type="paragraph" w:customStyle="1" w:styleId="Nameditemlist">
    <w:name w:val="Named item list"/>
    <w:basedOn w:val="BodyText"/>
    <w:qFormat/>
    <w:rsid w:val="00C71B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1797</Words>
  <Characters>10922</Characters>
  <Application>Microsoft Office Word</Application>
  <DocSecurity>0</DocSecurity>
  <Lines>306</Lines>
  <Paragraphs>149</Paragraphs>
  <ScaleCrop>false</ScaleCrop>
  <Company>Author-it Software Corporation Ltd.</Company>
  <LinksUpToDate>false</LinksUpToDate>
  <CharactersWithSpaces>12642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AVIO2007B Establish and maintain a sterile area at an airport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2013-12-23T10:19:34Z</dcterms:created>
  <dcterms:modified xsi:type="dcterms:W3CDTF">2013-12-20T05:52:00Z</dcterms:modified>
</cp:coreProperties>
</file>