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6CC" w:rsidP="00F666CC">
      <w:pPr>
        <w:pStyle w:val="Title"/>
      </w:pPr>
      <w:r>
        <w:fldChar w:fldCharType="begin"/>
      </w:r>
      <w:r>
        <w:instrText xml:space="preserve"> TITLE   \* MERGEFORMAT </w:instrText>
      </w:r>
      <w:r>
        <w:fldChar w:fldCharType="separate"/>
      </w:r>
      <w:r>
        <w:t>AVIF3004B Supervise the safety of aerodrome works and general access</w:t>
      </w:r>
      <w:r>
        <w:fldChar w:fldCharType="end"/>
      </w:r>
    </w:p>
    <w:p w:rsidR="00F666CC" w:rsidP="00F666CC">
      <w:pPr>
        <w:pStyle w:val="Version"/>
        <w:sectPr w:rsidSect="00115A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5A72" w:rsidP="00115A72">
      <w:pPr>
        <w:pStyle w:val="SuperHeading"/>
      </w:pPr>
      <w:r w:rsidRPr="00115A72">
        <w:t>AVIF3004B Supervise the safety of aerodrome works and general access</w:t>
      </w:r>
    </w:p>
    <w:p w:rsidR="00000000" w:rsidRPr="00115A72" w:rsidP="00115A72">
      <w:pPr>
        <w:pStyle w:val="SuperHeading"/>
      </w:pPr>
    </w:p>
    <w:p w:rsidR="00000000" w:rsidRPr="00115A72" w:rsidP="00115A72">
      <w:pPr>
        <w:pStyle w:val="Heading1"/>
      </w:pPr>
      <w:bookmarkStart w:id="1" w:name="O_60459"/>
      <w:bookmarkEnd w:id="1"/>
      <w:r w:rsidRPr="00115A72">
        <w:t>Modification History</w:t>
      </w:r>
    </w:p>
    <w:p w:rsidR="00000000" w:rsidRPr="00115A72" w:rsidP="00115A72">
      <w:pPr>
        <w:pStyle w:val="BodyText"/>
      </w:pPr>
      <w:r w:rsidRPr="00115A72">
        <w:t>Not applicable.</w:t>
      </w:r>
    </w:p>
    <w:p w:rsidR="00000000" w:rsidRPr="00115A72" w:rsidP="00115A72">
      <w:pPr>
        <w:pStyle w:val="AllowPageBreak"/>
      </w:pPr>
    </w:p>
    <w:p w:rsidR="00000000" w:rsidRPr="00115A72" w:rsidP="00115A72">
      <w:pPr>
        <w:pStyle w:val="Heading1"/>
      </w:pPr>
      <w:bookmarkStart w:id="2" w:name="O_60460"/>
      <w:bookmarkEnd w:id="2"/>
      <w:r w:rsidRPr="00115A72">
        <w:t>Unit Descriptor</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t>This unit involves the skills and knowledge required to supervise the safety of aerod</w:t>
            </w:r>
            <w:r w:rsidRPr="00115A72">
              <w:t>rome works and general access, including preparing for aerodrome works, supervising aerodrome access by vehicles and personnel, and supervising and completing aerodrome works. Required performance includes compliance with all relevant regulatory requiremen</w:t>
            </w:r>
            <w:r w:rsidRPr="00115A72">
              <w:t>ts (i.e. CAR 89 I, Schedule 10). Licensing, legislative, regulatory or certification requirements are applicable to this unit.</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3" w:name="O_60461"/>
      <w:bookmarkEnd w:id="3"/>
      <w:r w:rsidRPr="00115A72">
        <w:t>Application of the Unit</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t>Work must be carried out in compliance with the relevant regulatory requirements of the Civil Aviation Safety Authority.</w:t>
            </w:r>
          </w:p>
          <w:p w:rsidR="00000000" w:rsidRPr="00115A72" w:rsidP="00115A72">
            <w:pPr>
              <w:pStyle w:val="BodyText"/>
            </w:pPr>
            <w:r w:rsidRPr="00115A72">
              <w:t>Use for ADF Aviation is to be in accordance with relevant Defence Orders and Instructions and applicable CASA compliance.</w:t>
            </w:r>
          </w:p>
          <w:p w:rsidR="00000000" w:rsidRPr="00115A72" w:rsidP="00115A72">
            <w:pPr>
              <w:pStyle w:val="BodyText"/>
            </w:pPr>
            <w:r w:rsidRPr="00115A72">
              <w:t>Work is perfo</w:t>
            </w:r>
            <w:r w:rsidRPr="00115A72">
              <w:t>rmed under limited supervision.</w:t>
            </w:r>
          </w:p>
          <w:p w:rsidR="00000000" w:rsidRPr="00115A72" w:rsidP="00115A72">
            <w:pPr>
              <w:pStyle w:val="BodyText"/>
            </w:pPr>
            <w:r w:rsidRPr="00115A72">
              <w:t>Work involves the application of relevant principles, regulations, protocols and procedures when supervising the safety of aerodrome works and general access as part of commercial activities across a variety of operational c</w:t>
            </w:r>
            <w:r w:rsidRPr="00115A72">
              <w:t>ontexts within the Australian aviation industry.</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4" w:name="O_60462"/>
      <w:bookmarkEnd w:id="4"/>
      <w:r w:rsidRPr="00115A72">
        <w:t>Licensing/Regulatory Information</w:t>
      </w:r>
    </w:p>
    <w:p w:rsidR="00000000" w:rsidRPr="00115A72" w:rsidP="00115A72">
      <w:pPr>
        <w:pStyle w:val="BodyText"/>
      </w:pPr>
      <w:r w:rsidRPr="00115A72">
        <w:t>Not applicable.</w:t>
      </w:r>
    </w:p>
    <w:p w:rsidR="00000000" w:rsidRPr="00115A72" w:rsidP="00115A72">
      <w:pPr>
        <w:pStyle w:val="AllowPageBreak"/>
      </w:pPr>
    </w:p>
    <w:p w:rsidR="00000000" w:rsidRPr="00115A72" w:rsidP="00115A72">
      <w:pPr>
        <w:pStyle w:val="Heading1"/>
      </w:pPr>
      <w:bookmarkStart w:id="5" w:name="O_60464"/>
      <w:bookmarkEnd w:id="5"/>
      <w:r w:rsidRPr="00115A72">
        <w:t>Pre-Requisites</w:t>
      </w:r>
    </w:p>
    <w:p w:rsidR="00000000" w:rsidRPr="00115A72" w:rsidP="00115A72">
      <w:pPr>
        <w:pStyle w:val="BodyText"/>
      </w:pPr>
      <w:r w:rsidRPr="00115A72">
        <w:t>Not applicable.</w:t>
      </w:r>
    </w:p>
    <w:p w:rsidR="00000000" w:rsidRPr="00115A72" w:rsidP="00115A72">
      <w:pPr>
        <w:pStyle w:val="AllowPageBreak"/>
      </w:pPr>
    </w:p>
    <w:p w:rsidR="00000000" w:rsidRPr="00115A72" w:rsidP="00115A72">
      <w:pPr>
        <w:pStyle w:val="Heading1"/>
      </w:pPr>
      <w:bookmarkStart w:id="6" w:name="O_60463"/>
      <w:bookmarkEnd w:id="6"/>
      <w:r w:rsidRPr="00115A72">
        <w:t>Employability Skills Information</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t>This unit contains employability skills.</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7" w:name="O_60465"/>
      <w:bookmarkEnd w:id="7"/>
      <w:r w:rsidRPr="00115A72">
        <w:t>Elements and Performance Criteria Pre-Content</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t>Performance criteria descri</w:t>
            </w:r>
            <w:r w:rsidRPr="00115A72">
              <w:t>be the required performance needed to demonstrate achievement of the element. Assessment of performance is to be consistent with the evidence guide.</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8" w:name="O_60466"/>
      <w:bookmarkEnd w:id="8"/>
      <w:r w:rsidRPr="00115A72">
        <w:t>Elements and Performance Criteria</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PERFORMANCE CRITERIA</w:t>
            </w:r>
          </w:p>
        </w:tc>
      </w:tr>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List"/>
              <w:rPr>
                <w:lang w:val="en-NZ"/>
              </w:rPr>
            </w:pPr>
            <w:r w:rsidRPr="00115A72">
              <w:rPr>
                <w:rStyle w:val="SpecialBold"/>
              </w:rPr>
              <w:t>1</w:t>
            </w:r>
            <w:r w:rsidRPr="00115A72">
              <w:tab/>
            </w:r>
            <w:r w:rsidRPr="00115A72">
              <w:rPr>
                <w:rStyle w:val="SpecialBold"/>
              </w:rPr>
              <w:t>Prepare for aerodrome wo</w:t>
            </w:r>
            <w:r w:rsidRPr="00115A72">
              <w:rPr>
                <w:rStyle w:val="SpecialBold"/>
              </w:rPr>
              <w:t>rks</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List"/>
            </w:pPr>
            <w:r w:rsidRPr="00115A72">
              <w:t>1.1</w:t>
            </w:r>
            <w:r w:rsidRPr="00115A72">
              <w:tab/>
              <w:t>Official notification of impending start to the works is confirmed with appropriate aerodrome personnel</w:t>
            </w:r>
          </w:p>
          <w:p w:rsidR="00000000" w:rsidP="00115A72">
            <w:pPr>
              <w:pStyle w:val="List"/>
              <w:rPr>
                <w:lang w:val="en-NZ"/>
              </w:rPr>
            </w:pPr>
            <w:r w:rsidRPr="00115A72">
              <w:t>1.2</w:t>
            </w:r>
            <w:r w:rsidRPr="00115A72">
              <w:tab/>
            </w:r>
            <w:r w:rsidRPr="00115A72">
              <w:t>Processes for the safe conduct of the aerodrome works are developed or adapted from relevant plans, drawings, procedures documents, and Method of Working Plans (MOWPs) in accordance with workplace procedures</w:t>
            </w:r>
          </w:p>
        </w:tc>
      </w:tr>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List"/>
              <w:rPr>
                <w:lang w:val="en-NZ"/>
              </w:rPr>
            </w:pPr>
            <w:r w:rsidRPr="00115A72">
              <w:rPr>
                <w:rStyle w:val="SpecialBold"/>
              </w:rPr>
              <w:t>2</w:t>
            </w:r>
            <w:r w:rsidRPr="00115A72">
              <w:tab/>
            </w:r>
            <w:r w:rsidRPr="00115A72">
              <w:rPr>
                <w:rStyle w:val="SpecialBold"/>
              </w:rPr>
              <w:t>Supervise aerodrome access by vehicles and pe</w:t>
            </w:r>
            <w:r w:rsidRPr="00115A72">
              <w:rPr>
                <w:rStyle w:val="SpecialBold"/>
              </w:rPr>
              <w:t>rsonnel</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List"/>
            </w:pPr>
            <w:r w:rsidRPr="00115A72">
              <w:t>2.1</w:t>
            </w:r>
            <w:r w:rsidRPr="00115A72">
              <w:tab/>
              <w:t>Access requirements and relevant authorisation for all vehicles and personnel are determined in accordance with workplace procedures</w:t>
            </w:r>
          </w:p>
          <w:p w:rsidR="00000000" w:rsidRPr="00115A72" w:rsidP="00115A72">
            <w:pPr>
              <w:pStyle w:val="List"/>
            </w:pPr>
            <w:r w:rsidRPr="00115A72">
              <w:t>2.2</w:t>
            </w:r>
            <w:r w:rsidRPr="00115A72">
              <w:tab/>
              <w:t>Personnel, vehicles and equipment entering the airside are inspected to ensure compliance with aerodrome re</w:t>
            </w:r>
            <w:r w:rsidRPr="00115A72">
              <w:t>quirements</w:t>
            </w:r>
          </w:p>
          <w:p w:rsidR="00000000" w:rsidRPr="00115A72" w:rsidP="00115A72">
            <w:pPr>
              <w:pStyle w:val="List"/>
            </w:pPr>
            <w:r w:rsidRPr="00115A72">
              <w:t>2.3</w:t>
            </w:r>
            <w:r w:rsidRPr="00115A72">
              <w:tab/>
              <w:t>Appropriate supervision of airside personnel and vehicles is maintained throughout period on airside</w:t>
            </w:r>
          </w:p>
          <w:p w:rsidR="00000000" w:rsidP="00115A72">
            <w:pPr>
              <w:pStyle w:val="List"/>
              <w:rPr>
                <w:lang w:val="en-NZ"/>
              </w:rPr>
            </w:pPr>
            <w:r w:rsidRPr="00115A72">
              <w:t>2.4</w:t>
            </w:r>
            <w:r w:rsidRPr="00115A72">
              <w:tab/>
              <w:t>Vehicles are inspected to ensure they are marked in an appropriate manner</w:t>
            </w:r>
          </w:p>
        </w:tc>
      </w:tr>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List"/>
              <w:rPr>
                <w:lang w:val="en-NZ"/>
              </w:rPr>
            </w:pPr>
            <w:r w:rsidRPr="00115A72">
              <w:rPr>
                <w:rStyle w:val="SpecialBold"/>
              </w:rPr>
              <w:t>3</w:t>
            </w:r>
            <w:r w:rsidRPr="00115A72">
              <w:tab/>
            </w:r>
            <w:r w:rsidRPr="00115A72">
              <w:rPr>
                <w:rStyle w:val="SpecialBold"/>
              </w:rPr>
              <w:t>Supervise aerodrome works</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List"/>
            </w:pPr>
            <w:r w:rsidRPr="00115A72">
              <w:t>3.1</w:t>
            </w:r>
            <w:r w:rsidRPr="00115A72">
              <w:tab/>
              <w:t xml:space="preserve">Unserviceability markers and </w:t>
            </w:r>
            <w:r w:rsidRPr="00115A72">
              <w:t>barriers are positioned in accordance with workplace procedures and regulations</w:t>
            </w:r>
          </w:p>
          <w:p w:rsidR="00000000" w:rsidRPr="00115A72" w:rsidP="00115A72">
            <w:pPr>
              <w:pStyle w:val="List"/>
            </w:pPr>
            <w:r w:rsidRPr="00115A72">
              <w:t>3.2</w:t>
            </w:r>
            <w:r w:rsidRPr="00115A72">
              <w:tab/>
              <w:t>Aerodrome work procedures are supervised in accordance with MOWPs or other workplace procedures</w:t>
            </w:r>
          </w:p>
          <w:p w:rsidR="00000000" w:rsidRPr="00115A72" w:rsidP="00115A72">
            <w:pPr>
              <w:pStyle w:val="List"/>
            </w:pPr>
            <w:r w:rsidRPr="00115A72">
              <w:t>3.3</w:t>
            </w:r>
            <w:r w:rsidRPr="00115A72">
              <w:tab/>
              <w:t>The activities of personnel, vehicles and plant on the movement area are</w:t>
            </w:r>
            <w:r w:rsidRPr="00115A72">
              <w:t xml:space="preserve"> managed to ensure the safety of aircraft</w:t>
            </w:r>
          </w:p>
          <w:p w:rsidR="00000000" w:rsidRPr="00115A72" w:rsidP="00115A72">
            <w:pPr>
              <w:pStyle w:val="List"/>
            </w:pPr>
            <w:r w:rsidRPr="00115A72">
              <w:t>3.4</w:t>
            </w:r>
            <w:r w:rsidRPr="00115A72">
              <w:tab/>
              <w:t>Works are completed in accordance with relevant MOWP</w:t>
            </w:r>
          </w:p>
          <w:p w:rsidR="00000000" w:rsidRPr="00115A72" w:rsidP="00115A72">
            <w:pPr>
              <w:pStyle w:val="List"/>
            </w:pPr>
            <w:r w:rsidRPr="00115A72">
              <w:t>3.5</w:t>
            </w:r>
            <w:r w:rsidRPr="00115A72">
              <w:tab/>
              <w:t>Updated notification information is issued to ensure continued safe conduct of aerodrome works and aircraft operations</w:t>
            </w:r>
          </w:p>
          <w:p w:rsidR="00000000" w:rsidP="00115A72">
            <w:pPr>
              <w:pStyle w:val="List"/>
              <w:rPr>
                <w:lang w:val="en-NZ"/>
              </w:rPr>
            </w:pPr>
            <w:r w:rsidRPr="00115A72">
              <w:t>3.6</w:t>
            </w:r>
            <w:r w:rsidRPr="00115A72">
              <w:tab/>
              <w:t>At such times as required by a</w:t>
            </w:r>
            <w:r w:rsidRPr="00115A72">
              <w:t>ircraft, the aerodrome is temporarily restored to operational status in accordance with workplace procedures</w:t>
            </w:r>
          </w:p>
        </w:tc>
      </w:tr>
      <w:tr w:rsidTr="00F666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5A72">
            <w:pPr>
              <w:pStyle w:val="List"/>
              <w:rPr>
                <w:lang w:val="en-NZ"/>
              </w:rPr>
            </w:pPr>
            <w:r w:rsidRPr="00115A72">
              <w:rPr>
                <w:rStyle w:val="SpecialBold"/>
              </w:rPr>
              <w:t>4</w:t>
            </w:r>
            <w:r w:rsidRPr="00115A72">
              <w:tab/>
            </w:r>
            <w:r w:rsidRPr="00115A72">
              <w:rPr>
                <w:rStyle w:val="SpecialBold"/>
              </w:rPr>
              <w:t>Complete aerodrome works</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List"/>
            </w:pPr>
            <w:r w:rsidRPr="00115A72">
              <w:t>4.1</w:t>
            </w:r>
            <w:r w:rsidRPr="00115A72">
              <w:tab/>
              <w:t>The work area is cleared of personnel, vehicles and plant in a safe and timely manner, ensuring the aerodrome has b</w:t>
            </w:r>
            <w:r w:rsidRPr="00115A72">
              <w:t>een restored to full operational status</w:t>
            </w:r>
          </w:p>
          <w:p w:rsidR="00000000" w:rsidRPr="00115A72" w:rsidP="00115A72">
            <w:pPr>
              <w:pStyle w:val="List"/>
            </w:pPr>
            <w:r w:rsidRPr="00115A72">
              <w:t>4.2</w:t>
            </w:r>
            <w:r w:rsidRPr="00115A72">
              <w:tab/>
              <w:t>The works-affected area is inspected for serviceability in accordance with workplace procedures</w:t>
            </w:r>
          </w:p>
          <w:p w:rsidR="00000000" w:rsidRPr="00115A72" w:rsidP="00115A72">
            <w:pPr>
              <w:pStyle w:val="List"/>
            </w:pPr>
            <w:r w:rsidRPr="00115A72">
              <w:t>4.3</w:t>
            </w:r>
            <w:r w:rsidRPr="00115A72">
              <w:tab/>
              <w:t>The aerodrome overall is inspected for serviceability in accordance with workplace procedures</w:t>
            </w:r>
          </w:p>
          <w:p w:rsidR="00000000" w:rsidRPr="00115A72" w:rsidP="00115A72">
            <w:pPr>
              <w:pStyle w:val="List"/>
            </w:pPr>
            <w:r w:rsidRPr="00115A72">
              <w:t>4.4</w:t>
            </w:r>
            <w:r w:rsidRPr="00115A72">
              <w:tab/>
              <w:t>Relevant autho</w:t>
            </w:r>
            <w:r w:rsidRPr="00115A72">
              <w:t>rities or organisations are notified of the restoration of aerodrome serviceability in accordance with workplace procedures, using suitable means of communication</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9" w:name="O_60467"/>
      <w:bookmarkEnd w:id="9"/>
      <w:r w:rsidRPr="00115A72">
        <w:t>Required Skills and Knowledge</w:t>
      </w:r>
    </w:p>
    <w:tbl>
      <w:tblPr>
        <w:tblW w:w="9640" w:type="dxa"/>
        <w:tblLayout w:type="fixed"/>
        <w:tblCellMar>
          <w:left w:w="62" w:type="dxa"/>
          <w:right w:w="62" w:type="dxa"/>
        </w:tblCellMar>
        <w:tblLook w:val="0000"/>
      </w:tblPr>
      <w:tblGrid>
        <w:gridCol w:w="9640"/>
      </w:tblGrid>
      <w:tr w:rsidTr="00F666C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REQUIRED KNOWLEDGE AND SKILLS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This describes the essential knowledge and skills and their level required for this unit.</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Required knowledge</w:t>
            </w:r>
            <w:r w:rsidRPr="00115A72">
              <w:t>:</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Relevant sections of Civil Aviation Safety Regulations and Civil Aviation Orders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Relevant OH&amp;S and environmental procedures and regulations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Aerodrome operating procedures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Functions of a works safety officer (as defined in Civil Aviation Safety Regulations)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Aircraft schedules and their use in aerodrome inspection and reporting</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Purpose and application of unserviceability markers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Purpose</w:t>
            </w:r>
            <w:r w:rsidRPr="00115A72">
              <w:t xml:space="preserve"> and application of MOWPs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 xml:space="preserve">Safety hazards and risks that exist when supervising the safety of aerodrome works </w:t>
            </w:r>
            <w:r w:rsidRPr="00115A72">
              <w:t>and general access and related risk control procedures and precautions, including policies and local instructions concerning airside access and Notices to Airmen (NOTAMs), guidelines concerning runway visual range, policies/procedures related to works inte</w:t>
            </w:r>
            <w:r w:rsidRPr="00115A72">
              <w:t>grity at an aerodrome, policies/guidelines concerning manoeuvring area serviceability, and safety and security policies and procedures related to bird and animal hazards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Problems that may occur when supervising the safety of aerodrome works and general a</w:t>
            </w:r>
            <w:r w:rsidRPr="00115A72">
              <w:t>ccess and action that should be taken in each case</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Aviation weather forecasts products and services and their potential impact on operations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5A72" w:rsidP="00115A72">
            <w:pPr>
              <w:pStyle w:val="BodyText"/>
            </w:pPr>
          </w:p>
          <w:p w:rsidR="00000000" w:rsidP="00115A72">
            <w:pPr>
              <w:pStyle w:val="BodyText"/>
              <w:rPr>
                <w:lang w:val="en-NZ"/>
              </w:rPr>
            </w:pPr>
            <w:r w:rsidRPr="00115A72">
              <w:rPr>
                <w:rStyle w:val="SpecialBold"/>
              </w:rPr>
              <w:t>Required skills</w:t>
            </w:r>
            <w:r w:rsidRPr="00115A72">
              <w:t>:</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Communicate effectively with others when supervising the safety of aerodrome works and gener</w:t>
            </w:r>
            <w:r w:rsidRPr="00115A72">
              <w:t>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Read and interpret instructions, regulations, procedures and other information relevant to supervising the safety of aerodrome works and general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Interpret and follow operational instructions and prioritise work</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Complete documentation related to the safety of aerodrome works and general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Operate electronic communication equipment to required protocol</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Work collaboratively with others when supervising the safety of aerodrome works and general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Adap</w:t>
            </w:r>
            <w:r w:rsidRPr="00115A72">
              <w:t>t appropriately to cultural differences in the workplace, including modes of behaviour and interactions with others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Promptly report and/or rectify any identified problems that may occur when supervising the safety of aerodrome works and general access in</w:t>
            </w:r>
            <w:r w:rsidRPr="00115A72">
              <w:t xml:space="preserve"> accordance with regulatory requirements and workplace procedures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Implement contingency plans for unexpected events that may arise when supervising the safety of aerodrome works and general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Apply precautions and required action to minimise, cont</w:t>
            </w:r>
            <w:r w:rsidRPr="00115A72">
              <w:t>rol or eliminate hazards that may exist during the supervision of the safety of aerodrome works and general access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Monitor and anticipate operational problems and hazards and take appropriate action</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Monitor work activities in terms of planned schedule</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Modify activities dependent on differing workplace contingencies, situations and environments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Work systematically with required attention to detail without injury to self or others, or damage to goods or equipment</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Adapt to differences in equipment an</w:t>
            </w:r>
            <w:r w:rsidRPr="00115A72">
              <w:t>d operating environment in accordance with standard operating procedures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Select and use required personal protective equipment conforming to industry and OH&amp;S standards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5A72">
            <w:pPr>
              <w:pStyle w:val="ListBullet"/>
              <w:rPr>
                <w:lang w:val="en-NZ"/>
              </w:rPr>
            </w:pPr>
            <w:r w:rsidRPr="00115A72">
              <w:t>Implement OH&amp;S procedures and relevant regulations</w:t>
            </w:r>
          </w:p>
        </w:tc>
      </w:tr>
      <w:tr w:rsidTr="00F666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Identify and correctly use equ</w:t>
            </w:r>
            <w:r w:rsidRPr="00115A72">
              <w:t>ipment required to conduct the supervision of the safety of aerodrome works and general access</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10" w:name="O_60468"/>
      <w:bookmarkEnd w:id="10"/>
      <w:r w:rsidRPr="00115A72">
        <w:t>Evidence Guide</w:t>
      </w:r>
    </w:p>
    <w:tbl>
      <w:tblPr>
        <w:tblW w:w="9499" w:type="dxa"/>
        <w:tblLayout w:type="fixed"/>
        <w:tblCellMar>
          <w:left w:w="62" w:type="dxa"/>
          <w:right w:w="62" w:type="dxa"/>
        </w:tblCellMar>
        <w:tblLook w:val="0000"/>
      </w:tblPr>
      <w:tblGrid>
        <w:gridCol w:w="3524"/>
        <w:gridCol w:w="5975"/>
      </w:tblGrid>
      <w:tr w:rsidTr="00F666C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EVIDENCE GUIDE</w:t>
            </w:r>
          </w:p>
        </w:tc>
      </w:tr>
      <w:tr w:rsidTr="00F666C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The Evidence Guide provides advice on assessment and must be read in conjunction with the performance criteria, required knowledge and skills, the range statement and the assessment guidelines for this Training Package.</w:t>
            </w:r>
          </w:p>
        </w:tc>
      </w:tr>
      <w:tr w:rsidTr="00F666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Critical aspects for assessment an</w:t>
            </w:r>
            <w:r w:rsidRPr="00115A7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The evidence required to demonstrate competency in this unit must be relevant to and satisfy all of the requirements of the elements and performance criteria of this unit and include demonstration</w:t>
            </w:r>
            <w:r w:rsidRPr="00115A72">
              <w:t xml:space="preserve"> of applying:</w:t>
            </w:r>
          </w:p>
          <w:p w:rsidR="00000000" w:rsidRPr="00115A72" w:rsidP="00115A72">
            <w:pPr>
              <w:pStyle w:val="ListBullet"/>
            </w:pPr>
            <w:r w:rsidRPr="00115A72">
              <w:t>the underpinning knowledge and skills</w:t>
            </w:r>
          </w:p>
          <w:p w:rsidR="00000000" w:rsidRPr="00115A72" w:rsidP="00115A72">
            <w:pPr>
              <w:pStyle w:val="ListBullet"/>
            </w:pPr>
            <w:r w:rsidRPr="00115A72">
              <w:t>relevant legislation and workplace procedures</w:t>
            </w:r>
          </w:p>
          <w:p w:rsidR="00000000" w:rsidP="00115A72">
            <w:pPr>
              <w:pStyle w:val="ListBullet"/>
              <w:rPr>
                <w:lang w:val="en-NZ"/>
              </w:rPr>
            </w:pPr>
            <w:r w:rsidRPr="00115A72">
              <w:t>other relevant aspects of the range statement</w:t>
            </w:r>
          </w:p>
        </w:tc>
      </w:tr>
      <w:tr w:rsidTr="00F666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Perfor</w:t>
            </w:r>
            <w:r w:rsidRPr="00115A72">
              <w:t>mance is demonstrated consistently over a period of time and in a suitable range of contexts</w:t>
            </w:r>
          </w:p>
          <w:p w:rsidR="00000000" w:rsidRPr="00115A72" w:rsidP="00115A72">
            <w:pPr>
              <w:pStyle w:val="ListBullet"/>
            </w:pPr>
            <w:r w:rsidRPr="00115A72">
              <w:t>Resources for assessment include:</w:t>
            </w:r>
          </w:p>
          <w:p w:rsidR="00000000" w:rsidRPr="00115A72" w:rsidP="00115A72">
            <w:pPr>
              <w:pStyle w:val="ListBullet"/>
            </w:pPr>
            <w:r w:rsidRPr="00115A72">
              <w:t>a range of relevant exercises, case studies and/or other simulated practical and knowledge assessment, and/or</w:t>
            </w:r>
          </w:p>
          <w:p w:rsidR="00000000" w:rsidRPr="00115A72" w:rsidP="00115A72">
            <w:pPr>
              <w:pStyle w:val="ListBullet"/>
            </w:pPr>
            <w:r w:rsidRPr="00115A72">
              <w:t>access to an approp</w:t>
            </w:r>
            <w:r w:rsidRPr="00115A72">
              <w:t>riate range of relevant operational situations in the workplace</w:t>
            </w:r>
          </w:p>
          <w:p w:rsidR="00000000" w:rsidRPr="00115A72" w:rsidP="00115A72">
            <w:pPr>
              <w:pStyle w:val="ListBullet"/>
            </w:pPr>
            <w:r w:rsidRPr="00115A72">
              <w:t>In both real and simulated environments, access is required to:</w:t>
            </w:r>
          </w:p>
          <w:p w:rsidR="00000000" w:rsidRPr="00115A72" w:rsidP="00115A72">
            <w:pPr>
              <w:pStyle w:val="ListBullet"/>
            </w:pPr>
            <w:r w:rsidRPr="00115A72">
              <w:t>relevant and appropriate materials and equipment, and</w:t>
            </w:r>
          </w:p>
          <w:p w:rsidR="00000000" w:rsidP="00115A72">
            <w:pPr>
              <w:pStyle w:val="ListBullet"/>
              <w:rPr>
                <w:lang w:val="en-NZ"/>
              </w:rPr>
            </w:pPr>
            <w:r w:rsidRPr="00115A72">
              <w:t>applicable documentation including workplace procedures, regulations, code</w:t>
            </w:r>
            <w:r w:rsidRPr="00115A72">
              <w:t>s of practice and operation manuals</w:t>
            </w:r>
          </w:p>
        </w:tc>
      </w:tr>
      <w:tr w:rsidTr="00F666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Assessment of this unit must be undertaken by a registered training organisation</w:t>
            </w:r>
          </w:p>
          <w:p w:rsidR="00000000" w:rsidRPr="00115A72" w:rsidP="00115A72">
            <w:pPr>
              <w:pStyle w:val="ListBullet"/>
            </w:pPr>
            <w:r w:rsidRPr="00115A72">
              <w:t>As a minimum, assessment of knowledge must be conducted through appropriate written/oral tests</w:t>
            </w:r>
          </w:p>
          <w:p w:rsidR="00000000" w:rsidRPr="00115A72" w:rsidP="00115A72">
            <w:pPr>
              <w:pStyle w:val="ListBullet"/>
            </w:pPr>
            <w:r w:rsidRPr="00115A72">
              <w:t>Practical assessment must occur:</w:t>
            </w:r>
          </w:p>
          <w:p w:rsidR="00000000" w:rsidRPr="00115A72" w:rsidP="00115A72">
            <w:pPr>
              <w:pStyle w:val="ListBullet"/>
            </w:pPr>
            <w:r w:rsidRPr="00115A72">
              <w:t>through activities in an appropriately simulated environment at the registered training organisation, and/or</w:t>
            </w:r>
          </w:p>
          <w:p w:rsidR="00000000" w:rsidRPr="00115A72" w:rsidP="00115A72">
            <w:pPr>
              <w:pStyle w:val="ListBullet"/>
            </w:pPr>
            <w:r w:rsidRPr="00115A72">
              <w:t>in an appropriate range of situations in the workplace</w:t>
            </w:r>
          </w:p>
        </w:tc>
      </w:tr>
    </w:tbl>
    <w:p w:rsidR="00000000" w:rsidRPr="00115A72" w:rsidP="00115A72">
      <w:pPr>
        <w:pStyle w:val="BodyText"/>
      </w:pPr>
    </w:p>
    <w:p w:rsidR="00000000" w:rsidRPr="00115A72" w:rsidP="00115A72">
      <w:pPr>
        <w:pStyle w:val="AllowPageBreak"/>
      </w:pPr>
    </w:p>
    <w:p w:rsidR="00000000" w:rsidRPr="00115A72" w:rsidP="00115A72">
      <w:pPr>
        <w:pStyle w:val="Heading1"/>
      </w:pPr>
      <w:bookmarkStart w:id="11" w:name="O_60469"/>
      <w:bookmarkEnd w:id="11"/>
      <w:r w:rsidRPr="00115A72">
        <w:t>Range Statement</w:t>
      </w:r>
    </w:p>
    <w:tbl>
      <w:tblPr>
        <w:tblW w:w="9640" w:type="dxa"/>
        <w:tblLayout w:type="fixed"/>
        <w:tblCellMar>
          <w:left w:w="62" w:type="dxa"/>
          <w:right w:w="62" w:type="dxa"/>
        </w:tblCellMar>
        <w:tblLook w:val="0000"/>
      </w:tblPr>
      <w:tblGrid>
        <w:gridCol w:w="3486"/>
        <w:gridCol w:w="6154"/>
      </w:tblGrid>
      <w:tr w:rsidTr="00F666C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RANGE STATEMENT</w:t>
            </w:r>
            <w:r w:rsidRPr="00115A72">
              <w:t xml:space="preserve"> </w:t>
            </w:r>
          </w:p>
        </w:tc>
      </w:tr>
      <w:tr w:rsidTr="00F666C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The range statement relates to the unit of competency as a whole. It allows for different work environments and situations that may affect performance.</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Works may need to occur:</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by day or by night</w:t>
            </w:r>
          </w:p>
          <w:p w:rsidR="00000000" w:rsidP="00115A72">
            <w:pPr>
              <w:pStyle w:val="ListBullet"/>
              <w:rPr>
                <w:lang w:val="en-NZ"/>
              </w:rPr>
            </w:pPr>
            <w:r w:rsidRPr="00115A72">
              <w:t>in any weather conditions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Relevant authorities for</w:t>
            </w:r>
            <w:r w:rsidRPr="00115A72">
              <w:t xml:space="preserve"> reporting purposes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aerodrome operator or delegated person</w:t>
            </w:r>
          </w:p>
          <w:p w:rsidR="00000000" w:rsidRPr="00115A72" w:rsidP="00115A72">
            <w:pPr>
              <w:pStyle w:val="ListBullet"/>
            </w:pPr>
            <w:r w:rsidRPr="00115A72">
              <w:t>NOTAM Office (Airservices Australia)</w:t>
            </w:r>
          </w:p>
          <w:p w:rsidR="00000000" w:rsidRPr="00115A72" w:rsidP="00115A72">
            <w:pPr>
              <w:pStyle w:val="ListBullet"/>
            </w:pPr>
            <w:r w:rsidRPr="00115A72">
              <w:t>Civil Aviation Safety Authority</w:t>
            </w:r>
          </w:p>
          <w:p w:rsidR="00000000" w:rsidRPr="00115A72" w:rsidP="00115A72">
            <w:pPr>
              <w:pStyle w:val="ListBullet"/>
            </w:pPr>
            <w:r w:rsidRPr="00115A72">
              <w:t>Air Traffic Control (ATC)</w:t>
            </w:r>
          </w:p>
          <w:p w:rsidR="00000000" w:rsidRPr="00115A72" w:rsidP="00115A72">
            <w:pPr>
              <w:pStyle w:val="ListBullet"/>
            </w:pPr>
            <w:r w:rsidRPr="00115A72">
              <w:t>Australian Defence Forces Command for military bases</w:t>
            </w:r>
          </w:p>
          <w:p w:rsidR="00000000" w:rsidP="00115A72">
            <w:pPr>
              <w:pStyle w:val="ListBullet"/>
              <w:rPr>
                <w:lang w:val="en-NZ"/>
              </w:rPr>
            </w:pPr>
            <w:r w:rsidRPr="00115A72">
              <w:t>aerodrome users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Aerodromes may include</w:t>
            </w:r>
            <w:r w:rsidRPr="00115A72">
              <w:t>:</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licensed aerodromes</w:t>
            </w:r>
          </w:p>
          <w:p w:rsidR="00000000" w:rsidP="00115A72">
            <w:pPr>
              <w:pStyle w:val="ListBullet"/>
              <w:rPr>
                <w:lang w:val="en-NZ"/>
              </w:rPr>
            </w:pPr>
            <w:r w:rsidRPr="00115A72">
              <w:t>unlicensed aerodromes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Aerodrome works are classified as:</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Time Limited Works not affecting normal aircraft operations (movement area operational in less than 10 minutes)</w:t>
            </w:r>
          </w:p>
          <w:p w:rsidR="00000000" w:rsidRPr="00115A72" w:rsidP="00115A72">
            <w:pPr>
              <w:pStyle w:val="ListBullet"/>
            </w:pPr>
            <w:r w:rsidRPr="00115A72">
              <w:t>Time Limited Works requiring a NOTAM, where normal aircraft op</w:t>
            </w:r>
            <w:r w:rsidRPr="00115A72">
              <w:t>erations are not affected (movement area not operational within 10 minutes)</w:t>
            </w:r>
          </w:p>
          <w:p w:rsidR="00000000" w:rsidRPr="00115A72" w:rsidP="00115A72">
            <w:pPr>
              <w:pStyle w:val="ListBullet"/>
            </w:pPr>
            <w:r w:rsidRPr="00115A72">
              <w:t>works requiring NOTAM, with attached MOWP</w:t>
            </w:r>
          </w:p>
          <w:p w:rsidR="00000000" w:rsidP="00115A72">
            <w:pPr>
              <w:pStyle w:val="ListBullet"/>
              <w:rPr>
                <w:lang w:val="en-NZ"/>
              </w:rPr>
            </w:pPr>
            <w:r w:rsidRPr="00115A72">
              <w:t>MOWP, where regular public transport (RPT) or other regular users are disrupted (movement area not operable within 30 minutes)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Aerodrome works may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maintenance of markings and lights</w:t>
            </w:r>
          </w:p>
          <w:p w:rsidR="00000000" w:rsidRPr="00115A72" w:rsidP="00115A72">
            <w:pPr>
              <w:pStyle w:val="ListBullet"/>
            </w:pPr>
            <w:r w:rsidRPr="00115A72">
              <w:t>mowing grass</w:t>
            </w:r>
          </w:p>
          <w:p w:rsidR="00000000" w:rsidRPr="00115A72" w:rsidP="00115A72">
            <w:pPr>
              <w:pStyle w:val="ListBullet"/>
            </w:pPr>
            <w:r w:rsidRPr="00115A72">
              <w:t>rolling surfaces</w:t>
            </w:r>
          </w:p>
          <w:p w:rsidR="00000000" w:rsidRPr="00115A72" w:rsidP="00115A72">
            <w:pPr>
              <w:pStyle w:val="ListBullet"/>
            </w:pPr>
            <w:r w:rsidRPr="00115A72">
              <w:t>sweeping pavements</w:t>
            </w:r>
          </w:p>
          <w:p w:rsidR="00000000" w:rsidRPr="00115A72" w:rsidP="00115A72">
            <w:pPr>
              <w:pStyle w:val="ListBullet"/>
            </w:pPr>
            <w:r w:rsidRPr="00115A72">
              <w:t>minor repairs to pavements</w:t>
            </w:r>
          </w:p>
          <w:p w:rsidR="00000000" w:rsidRPr="00115A72" w:rsidP="00115A72">
            <w:pPr>
              <w:pStyle w:val="ListBullet"/>
            </w:pPr>
            <w:r w:rsidRPr="00115A72">
              <w:t>surveys and inspections</w:t>
            </w:r>
          </w:p>
          <w:p w:rsidR="00000000" w:rsidRPr="00115A72" w:rsidP="00115A72">
            <w:pPr>
              <w:pStyle w:val="ListBullet"/>
            </w:pPr>
            <w:r w:rsidRPr="00115A72">
              <w:t>major construction or repairs to the movement area</w:t>
            </w:r>
          </w:p>
          <w:p w:rsidR="00000000" w:rsidP="00115A72">
            <w:pPr>
              <w:pStyle w:val="ListBullet"/>
              <w:rPr>
                <w:lang w:val="en-NZ"/>
              </w:rPr>
            </w:pPr>
            <w:r w:rsidRPr="00115A72">
              <w:t>painting and repainting</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Processes for t</w:t>
            </w:r>
            <w:r w:rsidRPr="00115A72">
              <w:t>he safe conduct of works includes:</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work procedures</w:t>
            </w:r>
          </w:p>
          <w:p w:rsidR="00000000" w:rsidRPr="00115A72" w:rsidP="00115A72">
            <w:pPr>
              <w:pStyle w:val="ListBullet"/>
            </w:pPr>
            <w:r w:rsidRPr="00115A72">
              <w:t>identifying safe work vehicle movement areas</w:t>
            </w:r>
          </w:p>
          <w:p w:rsidR="00000000" w:rsidP="00115A72">
            <w:pPr>
              <w:pStyle w:val="ListBullet"/>
              <w:rPr>
                <w:lang w:val="en-NZ"/>
              </w:rPr>
            </w:pPr>
            <w:r w:rsidRPr="00115A72">
              <w:t>instructing work personnel</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Relevant works information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MOWP</w:t>
            </w:r>
          </w:p>
          <w:p w:rsidR="00000000" w:rsidRPr="00115A72" w:rsidP="00115A72">
            <w:pPr>
              <w:pStyle w:val="ListBullet"/>
            </w:pPr>
            <w:r w:rsidRPr="00115A72">
              <w:t>NOTAM</w:t>
            </w:r>
          </w:p>
          <w:p w:rsidR="00000000" w:rsidP="00115A72">
            <w:pPr>
              <w:pStyle w:val="ListBullet"/>
              <w:rPr>
                <w:lang w:val="en-NZ"/>
              </w:rPr>
            </w:pPr>
            <w:r w:rsidRPr="00115A72">
              <w:t>other written or verbal notification</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Procedures for making the movement area safe for aerodrome works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marking the unserviceable area</w:t>
            </w:r>
          </w:p>
          <w:p w:rsidR="00000000" w:rsidRPr="00115A72" w:rsidP="00115A72">
            <w:pPr>
              <w:pStyle w:val="ListBullet"/>
            </w:pPr>
            <w:r w:rsidRPr="00115A72">
              <w:t>partial closure of the movement area</w:t>
            </w:r>
          </w:p>
          <w:p w:rsidR="00000000" w:rsidRPr="00115A72" w:rsidP="00115A72">
            <w:pPr>
              <w:pStyle w:val="ListBullet"/>
            </w:pPr>
            <w:r w:rsidRPr="00115A72">
              <w:t>closing the movement area (aerodrome closure)</w:t>
            </w:r>
          </w:p>
          <w:p w:rsidR="00000000" w:rsidRPr="00115A72" w:rsidP="00115A72">
            <w:pPr>
              <w:pStyle w:val="ListBullet"/>
            </w:pPr>
            <w:r w:rsidRPr="00115A72">
              <w:t>contacting the aerodrome user</w:t>
            </w:r>
          </w:p>
          <w:p w:rsidR="00000000" w:rsidRPr="00115A72" w:rsidP="00115A72">
            <w:pPr>
              <w:pStyle w:val="ListBullet"/>
            </w:pPr>
            <w:r w:rsidRPr="00115A72">
              <w:t xml:space="preserve">extinguish lighting to the hazardous </w:t>
            </w:r>
            <w:r w:rsidRPr="00115A72">
              <w:t>section of the movement area</w:t>
            </w:r>
          </w:p>
          <w:p w:rsidR="00000000" w:rsidRPr="00115A72" w:rsidP="00115A72">
            <w:pPr>
              <w:pStyle w:val="ListBullet"/>
            </w:pPr>
            <w:r w:rsidRPr="00115A72">
              <w:t>lighting required to carry out works does not represent a hazard to aircraft operations</w:t>
            </w:r>
          </w:p>
          <w:p w:rsidR="00000000" w:rsidP="00115A72">
            <w:pPr>
              <w:pStyle w:val="ListBullet"/>
              <w:rPr>
                <w:lang w:val="en-NZ"/>
              </w:rPr>
            </w:pPr>
            <w:r w:rsidRPr="00115A72">
              <w:t>accessing and promulgating as appropriate public weather and aviation forecasts and current weather products applicable to the worksite</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Inspection of vehicles includes:</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roadworthiness</w:t>
            </w:r>
          </w:p>
          <w:p w:rsidR="00000000" w:rsidRPr="00115A72" w:rsidP="00115A72">
            <w:pPr>
              <w:pStyle w:val="ListBullet"/>
            </w:pPr>
            <w:r w:rsidRPr="00115A72">
              <w:t>fuel and oil leakage</w:t>
            </w:r>
          </w:p>
          <w:p w:rsidR="00000000" w:rsidP="00115A72">
            <w:pPr>
              <w:pStyle w:val="ListBullet"/>
              <w:rPr>
                <w:lang w:val="en-NZ"/>
              </w:rPr>
            </w:pPr>
            <w:r w:rsidRPr="00115A72">
              <w:t>appropriate markings and lights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Assessment of personnel includes:</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confirmation of authorisation to enter the airside</w:t>
            </w:r>
          </w:p>
          <w:p w:rsidR="00000000" w:rsidRPr="00115A72" w:rsidP="00115A72">
            <w:pPr>
              <w:pStyle w:val="ListBullet"/>
            </w:pPr>
            <w:r w:rsidRPr="00115A72">
              <w:t>confirmation of appropriate licences to operate vehicles and equipm</w:t>
            </w:r>
            <w:r w:rsidRPr="00115A72">
              <w:t>ent</w:t>
            </w:r>
          </w:p>
          <w:p w:rsidR="00000000" w:rsidRPr="00115A72" w:rsidP="00115A72">
            <w:pPr>
              <w:pStyle w:val="ListBullet"/>
            </w:pPr>
            <w:r w:rsidRPr="00115A72">
              <w:t>checking of understanding of:</w:t>
            </w:r>
          </w:p>
          <w:p w:rsidR="00000000" w:rsidRPr="00115A72" w:rsidP="00115A72">
            <w:pPr>
              <w:pStyle w:val="ListBullet"/>
            </w:pPr>
            <w:r w:rsidRPr="00115A72">
              <w:t>aerodrome terminology, signs and radio instructions</w:t>
            </w:r>
          </w:p>
          <w:p w:rsidR="00000000" w:rsidRPr="00115A72" w:rsidP="00115A72">
            <w:pPr>
              <w:pStyle w:val="ListBullet"/>
            </w:pPr>
            <w:r w:rsidRPr="00115A72">
              <w:t>aerodrome markings and signage</w:t>
            </w:r>
          </w:p>
          <w:p w:rsidR="00000000" w:rsidRPr="00115A72" w:rsidP="00115A72">
            <w:pPr>
              <w:pStyle w:val="ListBullet"/>
            </w:pPr>
            <w:r w:rsidRPr="00115A72">
              <w:t>vehicle restriction zones around aircraft, navigation beacons, lights</w:t>
            </w:r>
          </w:p>
          <w:p w:rsidR="00000000" w:rsidRPr="00115A72" w:rsidP="00115A72">
            <w:pPr>
              <w:pStyle w:val="ListBullet"/>
            </w:pPr>
            <w:r w:rsidRPr="00115A72">
              <w:t>required vehicle marking and lighting requirements</w:t>
            </w:r>
          </w:p>
          <w:p w:rsidR="00000000" w:rsidRPr="00115A72" w:rsidP="00115A72">
            <w:pPr>
              <w:pStyle w:val="ListBullet"/>
            </w:pPr>
            <w:r w:rsidRPr="00115A72">
              <w:t>aerodrome speed limits</w:t>
            </w:r>
          </w:p>
          <w:p w:rsidR="00000000" w:rsidRPr="00115A72" w:rsidP="00115A72">
            <w:pPr>
              <w:pStyle w:val="ListBullet"/>
            </w:pPr>
            <w:r w:rsidRPr="00115A72">
              <w:t>directions from the safety officer</w:t>
            </w:r>
          </w:p>
          <w:p w:rsidR="00000000" w:rsidP="00115A72">
            <w:pPr>
              <w:pStyle w:val="ListBullet"/>
              <w:rPr>
                <w:lang w:val="en-NZ"/>
              </w:rPr>
            </w:pPr>
            <w:r w:rsidRPr="00115A72">
              <w:t>current and forecast aerodrome weather conditions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Vehicle or other mobile obstacle markings and equipment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orange or yellow paint (for vehicles regularly used on movement area)</w:t>
            </w:r>
          </w:p>
          <w:p w:rsidR="00000000" w:rsidRPr="00115A72" w:rsidP="00115A72">
            <w:pPr>
              <w:pStyle w:val="ListBullet"/>
            </w:pPr>
            <w:r w:rsidRPr="00115A72">
              <w:t>warning lig</w:t>
            </w:r>
            <w:r w:rsidRPr="00115A72">
              <w:t>hts (orange/amber/yellow)</w:t>
            </w:r>
          </w:p>
          <w:p w:rsidR="00000000" w:rsidRPr="00115A72" w:rsidP="00115A72">
            <w:pPr>
              <w:pStyle w:val="ListBullet"/>
            </w:pPr>
            <w:r w:rsidRPr="00115A72">
              <w:t>radio equipment as required</w:t>
            </w:r>
          </w:p>
          <w:p w:rsidR="00000000" w:rsidP="00115A72">
            <w:pPr>
              <w:pStyle w:val="ListBullet"/>
              <w:rPr>
                <w:lang w:val="en-NZ"/>
              </w:rPr>
            </w:pPr>
            <w:r w:rsidRPr="00115A72">
              <w:t>company colours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Unserviceability markers and cones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signal circle markers</w:t>
            </w:r>
          </w:p>
          <w:p w:rsidR="00000000" w:rsidRPr="00115A72" w:rsidP="00115A72">
            <w:pPr>
              <w:pStyle w:val="ListBullet"/>
            </w:pPr>
            <w:r w:rsidRPr="00115A72">
              <w:t>unserviceability cross markers</w:t>
            </w:r>
          </w:p>
          <w:p w:rsidR="00000000" w:rsidRPr="00115A72" w:rsidP="00115A72">
            <w:pPr>
              <w:pStyle w:val="ListBullet"/>
            </w:pPr>
            <w:r w:rsidRPr="00115A72">
              <w:t>unserviceability cones</w:t>
            </w:r>
          </w:p>
          <w:p w:rsidR="00000000" w:rsidRPr="00115A72" w:rsidP="00115A72">
            <w:pPr>
              <w:pStyle w:val="ListBullet"/>
            </w:pPr>
            <w:r w:rsidRPr="00115A72">
              <w:t>displaced threshold markers</w:t>
            </w:r>
          </w:p>
          <w:p w:rsidR="00000000" w:rsidP="00115A72">
            <w:pPr>
              <w:pStyle w:val="ListBullet"/>
              <w:rPr>
                <w:lang w:val="en-NZ"/>
              </w:rPr>
            </w:pPr>
            <w:r w:rsidRPr="00115A72">
              <w:t>unserviceability lighting</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company procedures</w:t>
            </w:r>
          </w:p>
          <w:p w:rsidR="00000000" w:rsidRPr="00115A72" w:rsidP="00115A72">
            <w:pPr>
              <w:pStyle w:val="ListBullet"/>
            </w:pPr>
            <w:r w:rsidRPr="00115A72">
              <w:t>enterprise procedures</w:t>
            </w:r>
          </w:p>
          <w:p w:rsidR="00000000" w:rsidRPr="00115A72" w:rsidP="00115A72">
            <w:pPr>
              <w:pStyle w:val="ListBullet"/>
            </w:pPr>
            <w:r w:rsidRPr="00115A72">
              <w:t>organisational procedures</w:t>
            </w:r>
          </w:p>
          <w:p w:rsidR="00000000" w:rsidRPr="00115A72" w:rsidP="00115A72">
            <w:pPr>
              <w:pStyle w:val="ListBullet"/>
            </w:pPr>
            <w:r w:rsidRPr="00115A72">
              <w:t>established procedures</w:t>
            </w:r>
          </w:p>
          <w:p w:rsidR="00000000" w:rsidP="00115A72">
            <w:pPr>
              <w:pStyle w:val="ListBullet"/>
              <w:rPr>
                <w:lang w:val="en-NZ"/>
              </w:rPr>
            </w:pPr>
            <w:r w:rsidRPr="00115A72">
              <w:t>standard operating procedures</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Information/document</w:t>
            </w:r>
            <w:r w:rsidRPr="00115A72">
              <w:t>s may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relevant sections of Civil Aviation Safety Regulations and Civil Aviation Orders pertaining to supervising the safety of aerodrome works and general access (i.e. CAR 89 I, Schedule 10)</w:t>
            </w:r>
          </w:p>
          <w:p w:rsidR="00000000" w:rsidRPr="00115A72" w:rsidP="00115A72">
            <w:pPr>
              <w:pStyle w:val="ListBullet"/>
            </w:pPr>
            <w:r w:rsidRPr="00115A72">
              <w:t>aerodrome manuals</w:t>
            </w:r>
          </w:p>
          <w:p w:rsidR="00000000" w:rsidRPr="00115A72" w:rsidP="00115A72">
            <w:pPr>
              <w:pStyle w:val="ListBullet"/>
            </w:pPr>
            <w:r w:rsidRPr="00115A72">
              <w:t>workplace operating procedures manual</w:t>
            </w:r>
            <w:r w:rsidRPr="00115A72">
              <w:t>s</w:t>
            </w:r>
          </w:p>
          <w:p w:rsidR="00000000" w:rsidRPr="00115A72" w:rsidP="00115A72">
            <w:pPr>
              <w:pStyle w:val="ListBullet"/>
            </w:pPr>
            <w:r w:rsidRPr="00115A72">
              <w:t>Manual of Standards - Aerodromes (previously Rules and Practices for Aerodromes [RPA])</w:t>
            </w:r>
          </w:p>
          <w:p w:rsidR="00000000" w:rsidRPr="00115A72" w:rsidP="00115A72">
            <w:pPr>
              <w:pStyle w:val="ListBullet"/>
            </w:pPr>
            <w:r w:rsidRPr="00115A72">
              <w:t>En Route Supplement Australia (ERSA)</w:t>
            </w:r>
          </w:p>
          <w:p w:rsidR="00000000" w:rsidRPr="00115A72" w:rsidP="00115A72">
            <w:pPr>
              <w:pStyle w:val="ListBullet"/>
            </w:pPr>
            <w:r w:rsidRPr="00115A72">
              <w:t>manufacturers specifications for equipment</w:t>
            </w:r>
          </w:p>
          <w:p w:rsidR="00000000" w:rsidRPr="00115A72" w:rsidP="00115A72">
            <w:pPr>
              <w:pStyle w:val="ListBullet"/>
            </w:pPr>
            <w:r w:rsidRPr="00115A72">
              <w:t>RPT routes and timetables</w:t>
            </w:r>
          </w:p>
          <w:p w:rsidR="00000000" w:rsidRPr="00115A72" w:rsidP="00115A72">
            <w:pPr>
              <w:pStyle w:val="ListBullet"/>
            </w:pPr>
            <w:r w:rsidRPr="00115A72">
              <w:t>MOWPs</w:t>
            </w:r>
          </w:p>
          <w:p w:rsidR="00000000" w:rsidRPr="00115A72" w:rsidP="00115A72">
            <w:pPr>
              <w:pStyle w:val="ListBullet"/>
            </w:pPr>
            <w:r w:rsidRPr="00115A72">
              <w:t>induction and training materials</w:t>
            </w:r>
          </w:p>
          <w:p w:rsidR="00000000" w:rsidP="00115A72">
            <w:pPr>
              <w:pStyle w:val="ListBullet"/>
              <w:rPr>
                <w:lang w:val="en-NZ"/>
              </w:rPr>
            </w:pPr>
            <w:r w:rsidRPr="00115A72">
              <w:t>relevant documents from Bureau of Meteorology, International Civil Aviation Organization (ICAO) and the World Meteorological Organization (WMO)</w:t>
            </w:r>
          </w:p>
        </w:tc>
      </w:tr>
      <w:tr w:rsidTr="00F666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15A72" w:rsidP="00115A72">
            <w:pPr>
              <w:pStyle w:val="ListBullet"/>
            </w:pPr>
            <w:r w:rsidRPr="00115A72">
              <w:t>relevant Civil Aviation Act (1988) and Civil Aviation Regu</w:t>
            </w:r>
            <w:r w:rsidRPr="00115A72">
              <w:t>lations and Orders (i.e. CAR 89 I, Schedule 10)</w:t>
            </w:r>
          </w:p>
          <w:p w:rsidR="00000000" w:rsidRPr="00115A72" w:rsidP="00115A72">
            <w:pPr>
              <w:pStyle w:val="ListBullet"/>
            </w:pPr>
            <w:r w:rsidRPr="00115A72">
              <w:t>Manual of Standards - Aerodromes (previously Rules and Practices for Aerodromes [RPA])</w:t>
            </w:r>
          </w:p>
          <w:p w:rsidR="00000000" w:rsidRPr="00115A72" w:rsidP="00115A72">
            <w:pPr>
              <w:pStyle w:val="ListBullet"/>
            </w:pPr>
            <w:r w:rsidRPr="00115A72">
              <w:t>applicable state, territory and commonwealth regulations concerning:</w:t>
            </w:r>
          </w:p>
          <w:p w:rsidR="00000000" w:rsidRPr="00115A72" w:rsidP="00115A72">
            <w:pPr>
              <w:pStyle w:val="ListBullet"/>
            </w:pPr>
            <w:r w:rsidRPr="00115A72">
              <w:t>OH&amp;S</w:t>
            </w:r>
          </w:p>
          <w:p w:rsidR="00000000" w:rsidRPr="00115A72" w:rsidP="00115A72">
            <w:pPr>
              <w:pStyle w:val="ListBullet"/>
            </w:pPr>
            <w:r w:rsidRPr="00115A72">
              <w:t>workplace relations</w:t>
            </w:r>
          </w:p>
          <w:p w:rsidR="00000000" w:rsidRPr="00115A72" w:rsidP="00115A72">
            <w:pPr>
              <w:pStyle w:val="ListBullet"/>
            </w:pPr>
            <w:r w:rsidRPr="00115A72">
              <w:t>workers compensation</w:t>
            </w:r>
          </w:p>
          <w:p w:rsidR="00000000" w:rsidRPr="00115A72" w:rsidP="00115A72">
            <w:pPr>
              <w:pStyle w:val="ListBullet"/>
            </w:pPr>
            <w:r w:rsidRPr="00115A72">
              <w:t>ADG Co</w:t>
            </w:r>
            <w:r w:rsidRPr="00115A72">
              <w:t>de and Mines Regulation Act for fuel</w:t>
            </w:r>
          </w:p>
          <w:p w:rsidR="00000000" w:rsidRPr="00115A72" w:rsidP="00115A72">
            <w:pPr>
              <w:pStyle w:val="ListBullet"/>
            </w:pPr>
            <w:r w:rsidRPr="00115A72">
              <w:t>environmental protection</w:t>
            </w:r>
          </w:p>
          <w:p w:rsidR="00000000" w:rsidRPr="00115A72" w:rsidP="00115A72">
            <w:pPr>
              <w:pStyle w:val="ListBullet"/>
            </w:pPr>
            <w:r w:rsidRPr="00115A72">
              <w:t>equal opportunity</w:t>
            </w:r>
          </w:p>
        </w:tc>
      </w:tr>
    </w:tbl>
    <w:p w:rsidR="00F666CC" w:rsidP="00115A72">
      <w:pPr>
        <w:pStyle w:val="BodyText"/>
      </w:pPr>
    </w:p>
    <w:p w:rsidR="00F666CC" w:rsidP="00115A72">
      <w:pPr>
        <w:pStyle w:val="BodyText"/>
      </w:pPr>
    </w:p>
    <w:p w:rsidR="00000000" w:rsidRPr="00115A72" w:rsidP="00115A72">
      <w:pPr>
        <w:pStyle w:val="Heading1"/>
      </w:pPr>
      <w:bookmarkStart w:id="12" w:name="O_60470"/>
      <w:bookmarkEnd w:id="12"/>
      <w:r w:rsidRPr="00115A72">
        <w:t>Unit Sector(s)</w:t>
      </w:r>
    </w:p>
    <w:p w:rsidR="00000000" w:rsidRPr="00115A72" w:rsidP="00115A72">
      <w:pPr>
        <w:pStyle w:val="BodyText"/>
      </w:pPr>
      <w:r w:rsidRPr="00115A72">
        <w:t>Not applicable.</w:t>
      </w:r>
    </w:p>
    <w:p w:rsidR="00000000" w:rsidRPr="00115A72" w:rsidP="00115A72">
      <w:pPr>
        <w:pStyle w:val="AllowPageBreak"/>
      </w:pPr>
    </w:p>
    <w:p w:rsidR="00000000" w:rsidRPr="00115A72" w:rsidP="00115A72">
      <w:pPr>
        <w:pStyle w:val="Heading1"/>
      </w:pPr>
      <w:bookmarkStart w:id="13" w:name="O_153496"/>
      <w:bookmarkEnd w:id="13"/>
      <w:r w:rsidRPr="00115A72">
        <w:t>Competency field</w:t>
      </w:r>
    </w:p>
    <w:tbl>
      <w:tblPr>
        <w:tblW w:w="9640" w:type="dxa"/>
        <w:tblLayout w:type="fixed"/>
        <w:tblCellMar>
          <w:left w:w="62" w:type="dxa"/>
          <w:right w:w="62" w:type="dxa"/>
        </w:tblCellMar>
        <w:tblLook w:val="0000"/>
      </w:tblPr>
      <w:tblGrid>
        <w:gridCol w:w="2978"/>
        <w:gridCol w:w="6662"/>
      </w:tblGrid>
      <w:tr w:rsidTr="00F666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5A72">
            <w:pPr>
              <w:pStyle w:val="BodyText"/>
              <w:rPr>
                <w:lang w:val="en-NZ"/>
              </w:rPr>
            </w:pPr>
            <w:r w:rsidRPr="00115A7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15A72" w:rsidP="00115A72">
            <w:pPr>
              <w:pStyle w:val="BodyText"/>
            </w:pPr>
            <w:r w:rsidRPr="00115A72">
              <w:t>F - Safety Management</w:t>
            </w:r>
          </w:p>
        </w:tc>
      </w:tr>
    </w:tbl>
    <w:p w:rsidR="00000000" w:rsidRPr="00115A72" w:rsidP="00115A72">
      <w:pPr>
        <w:pStyle w:val="BodyText"/>
      </w:pPr>
    </w:p>
    <w:p w:rsidR="00000000" w:rsidRPr="00115A72" w:rsidP="00115A72"/>
    <w:sectPr w:rsidSect="00115A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6CC" w:rsidP="00F66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6CC" w:rsidP="00115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66CC" w:rsidP="00115A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66CC" w:rsidP="00115A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6CC" w:rsidP="00F666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6CC" w:rsidP="00115A72">
    <w:pPr>
      <w:pStyle w:val="Header"/>
      <w:framePr w:wrap="around"/>
    </w:pPr>
    <w:r>
      <w:fldChar w:fldCharType="begin"/>
    </w:r>
    <w:r>
      <w:instrText xml:space="preserve"> TITLE   \* MERGEFORMAT </w:instrText>
    </w:r>
    <w:r>
      <w:fldChar w:fldCharType="separate"/>
    </w:r>
    <w:r>
      <w:t>AVIF3004B Supervise the safety of aerodrome works and general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6CC" w:rsidP="00115A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F42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90F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A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A72"/>
    <w:pPr>
      <w:spacing w:before="360" w:after="60"/>
      <w:outlineLvl w:val="0"/>
    </w:pPr>
    <w:rPr>
      <w:sz w:val="32"/>
    </w:rPr>
  </w:style>
  <w:style w:type="paragraph" w:styleId="Heading2">
    <w:name w:val="heading 2"/>
    <w:basedOn w:val="HeadingBase"/>
    <w:next w:val="BodyText"/>
    <w:link w:val="Heading2Char"/>
    <w:qFormat/>
    <w:rsid w:val="00115A72"/>
    <w:pPr>
      <w:keepLines/>
      <w:spacing w:before="240" w:after="120"/>
      <w:outlineLvl w:val="1"/>
    </w:pPr>
    <w:rPr>
      <w:sz w:val="28"/>
      <w:szCs w:val="40"/>
    </w:rPr>
  </w:style>
  <w:style w:type="paragraph" w:styleId="Heading3">
    <w:name w:val="heading 3"/>
    <w:basedOn w:val="HeadingBase"/>
    <w:next w:val="BodyText"/>
    <w:link w:val="Heading3Char"/>
    <w:qFormat/>
    <w:rsid w:val="00115A72"/>
    <w:pPr>
      <w:spacing w:before="180" w:after="120"/>
      <w:outlineLvl w:val="2"/>
    </w:pPr>
    <w:rPr>
      <w:spacing w:val="-10"/>
      <w:kern w:val="32"/>
    </w:rPr>
  </w:style>
  <w:style w:type="paragraph" w:styleId="Heading4">
    <w:name w:val="heading 4"/>
    <w:basedOn w:val="HeadingBase"/>
    <w:next w:val="BodyText"/>
    <w:link w:val="Heading4Char"/>
    <w:qFormat/>
    <w:rsid w:val="00115A72"/>
    <w:pPr>
      <w:spacing w:before="160" w:after="120"/>
      <w:outlineLvl w:val="3"/>
    </w:pPr>
    <w:rPr>
      <w:sz w:val="22"/>
    </w:rPr>
  </w:style>
  <w:style w:type="paragraph" w:styleId="Heading5">
    <w:name w:val="heading 5"/>
    <w:basedOn w:val="HeadingBase"/>
    <w:next w:val="Normal"/>
    <w:link w:val="Heading5Char"/>
    <w:qFormat/>
    <w:rsid w:val="00115A72"/>
    <w:pPr>
      <w:spacing w:before="80"/>
      <w:outlineLvl w:val="4"/>
    </w:pPr>
    <w:rPr>
      <w:color w:val="918585"/>
      <w:sz w:val="20"/>
    </w:rPr>
  </w:style>
  <w:style w:type="paragraph" w:styleId="Heading6">
    <w:name w:val="heading 6"/>
    <w:basedOn w:val="HeadingBase"/>
    <w:next w:val="Normal"/>
    <w:link w:val="Heading6Char"/>
    <w:qFormat/>
    <w:rsid w:val="00115A72"/>
    <w:pPr>
      <w:spacing w:before="60"/>
      <w:outlineLvl w:val="5"/>
    </w:pPr>
    <w:rPr>
      <w:color w:val="918585"/>
      <w:sz w:val="20"/>
    </w:rPr>
  </w:style>
  <w:style w:type="paragraph" w:styleId="Heading7">
    <w:name w:val="heading 7"/>
    <w:basedOn w:val="Normal"/>
    <w:next w:val="Normal"/>
    <w:link w:val="Heading7Char"/>
    <w:qFormat/>
    <w:rsid w:val="00115A72"/>
    <w:pPr>
      <w:ind w:left="720"/>
      <w:outlineLvl w:val="6"/>
    </w:pPr>
    <w:rPr>
      <w:i/>
    </w:rPr>
  </w:style>
  <w:style w:type="paragraph" w:styleId="Heading8">
    <w:name w:val="heading 8"/>
    <w:basedOn w:val="Normal"/>
    <w:next w:val="Normal"/>
    <w:link w:val="Heading8Char"/>
    <w:qFormat/>
    <w:rsid w:val="00115A72"/>
    <w:pPr>
      <w:ind w:left="720"/>
      <w:outlineLvl w:val="7"/>
    </w:pPr>
    <w:rPr>
      <w:i/>
    </w:rPr>
  </w:style>
  <w:style w:type="paragraph" w:styleId="Heading9">
    <w:name w:val="heading 9"/>
    <w:basedOn w:val="Normal"/>
    <w:next w:val="Normal"/>
    <w:link w:val="Heading9Char"/>
    <w:qFormat/>
    <w:rsid w:val="00115A72"/>
    <w:pPr>
      <w:ind w:left="720"/>
      <w:outlineLvl w:val="8"/>
    </w:pPr>
    <w:rPr>
      <w:i/>
    </w:rPr>
  </w:style>
  <w:style w:type="character" w:default="1" w:styleId="DefaultParagraphFont">
    <w:name w:val="Default Paragraph Font"/>
    <w:uiPriority w:val="1"/>
    <w:unhideWhenUsed/>
    <w:rsid w:val="00115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A72"/>
  </w:style>
  <w:style w:type="character" w:customStyle="1" w:styleId="Heading1Char">
    <w:name w:val="Heading 1 Char"/>
    <w:basedOn w:val="DefaultParagraphFont"/>
    <w:link w:val="Heading1"/>
    <w:rsid w:val="00115A72"/>
    <w:rPr>
      <w:rFonts w:ascii="Times New Roman" w:eastAsia="Times New Roman" w:hAnsi="Times New Roman" w:cs="Times New Roman"/>
      <w:b/>
      <w:sz w:val="32"/>
      <w:szCs w:val="20"/>
      <w:lang w:eastAsia="en-US"/>
    </w:rPr>
  </w:style>
  <w:style w:type="paragraph" w:styleId="BodyText">
    <w:name w:val="Body Text"/>
    <w:basedOn w:val="Normal"/>
    <w:link w:val="BodyTextChar"/>
    <w:rsid w:val="00115A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A72"/>
    <w:rPr>
      <w:rFonts w:ascii="Times New Roman" w:eastAsia="Times New Roman" w:hAnsi="Times New Roman" w:cs="Times New Roman"/>
      <w:sz w:val="24"/>
      <w:lang w:val="en-US" w:eastAsia="en-US"/>
    </w:rPr>
  </w:style>
  <w:style w:type="paragraph" w:styleId="Footer">
    <w:name w:val="footer"/>
    <w:basedOn w:val="Normal"/>
    <w:link w:val="FooterChar"/>
    <w:rsid w:val="00115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A72"/>
    <w:rPr>
      <w:rFonts w:ascii="Times New Roman" w:eastAsia="Times New Roman" w:hAnsi="Times New Roman" w:cs="Times New Roman"/>
      <w:sz w:val="16"/>
      <w:lang w:val="en-US" w:eastAsia="en-US"/>
    </w:rPr>
  </w:style>
  <w:style w:type="paragraph" w:styleId="List">
    <w:name w:val="List"/>
    <w:basedOn w:val="BodyText"/>
    <w:next w:val="BodyText"/>
    <w:rsid w:val="00115A72"/>
    <w:pPr>
      <w:tabs>
        <w:tab w:val="left" w:pos="340"/>
      </w:tabs>
      <w:spacing w:before="60" w:after="60"/>
      <w:ind w:left="340" w:hanging="340"/>
    </w:pPr>
  </w:style>
  <w:style w:type="paragraph" w:styleId="ListBullet">
    <w:name w:val="List Bullet"/>
    <w:basedOn w:val="List"/>
    <w:rsid w:val="00115A72"/>
    <w:pPr>
      <w:numPr>
        <w:numId w:val="12"/>
      </w:numPr>
      <w:tabs>
        <w:tab w:val="clear" w:pos="340"/>
      </w:tabs>
      <w:spacing w:before="40" w:after="40"/>
    </w:pPr>
  </w:style>
  <w:style w:type="character" w:customStyle="1" w:styleId="SpecialBold">
    <w:name w:val="Special Bold"/>
    <w:basedOn w:val="DefaultParagraphFont"/>
    <w:rsid w:val="00115A72"/>
    <w:rPr>
      <w:b/>
      <w:spacing w:val="0"/>
    </w:rPr>
  </w:style>
  <w:style w:type="paragraph" w:styleId="Header">
    <w:name w:val="header"/>
    <w:basedOn w:val="Normal"/>
    <w:link w:val="HeaderChar"/>
    <w:rsid w:val="00115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A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A72"/>
    <w:pPr>
      <w:spacing w:before="240" w:after="120"/>
      <w:outlineLvl w:val="0"/>
    </w:pPr>
    <w:rPr>
      <w:rFonts w:ascii="Times New Roman" w:hAnsi="Times New Roman"/>
      <w:b/>
      <w:sz w:val="28"/>
    </w:rPr>
  </w:style>
  <w:style w:type="paragraph" w:customStyle="1" w:styleId="AllowPageBreak">
    <w:name w:val="AllowPageBreak"/>
    <w:rsid w:val="00115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A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A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A72"/>
    <w:rPr>
      <w:rFonts w:ascii="Courier New" w:eastAsia="Times New Roman" w:hAnsi="Courier New" w:cs="Times New Roman"/>
      <w:i/>
      <w:szCs w:val="20"/>
      <w:lang w:val="en-US" w:eastAsia="en-US"/>
    </w:rPr>
  </w:style>
  <w:style w:type="paragraph" w:customStyle="1" w:styleId="HeadingBase">
    <w:name w:val="Heading Base"/>
    <w:rsid w:val="00115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A72"/>
    <w:pPr>
      <w:tabs>
        <w:tab w:val="right" w:leader="dot" w:pos="9072"/>
      </w:tabs>
      <w:ind w:left="567"/>
    </w:pPr>
    <w:rPr>
      <w:szCs w:val="22"/>
    </w:rPr>
  </w:style>
  <w:style w:type="paragraph" w:customStyle="1" w:styleId="TOCBase">
    <w:name w:val="TOC Base"/>
    <w:rsid w:val="00115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A72"/>
    <w:pPr>
      <w:tabs>
        <w:tab w:val="right" w:leader="dot" w:pos="9072"/>
      </w:tabs>
      <w:spacing w:before="40" w:after="40"/>
      <w:ind w:left="284"/>
    </w:pPr>
    <w:rPr>
      <w:rFonts w:ascii="Times New Roman" w:hAnsi="Times New Roman"/>
    </w:rPr>
  </w:style>
  <w:style w:type="paragraph" w:styleId="TOC1">
    <w:name w:val="toc 1"/>
    <w:basedOn w:val="TOCBase"/>
    <w:next w:val="Normal"/>
    <w:rsid w:val="00115A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A72"/>
    <w:pPr>
      <w:spacing w:before="5040"/>
      <w:jc w:val="center"/>
    </w:pPr>
    <w:rPr>
      <w:sz w:val="48"/>
      <w:szCs w:val="72"/>
      <w:lang w:val="en-US"/>
    </w:rPr>
  </w:style>
  <w:style w:type="character" w:customStyle="1" w:styleId="TitleChar">
    <w:name w:val="Title Char"/>
    <w:basedOn w:val="DefaultParagraphFont"/>
    <w:link w:val="Title"/>
    <w:rsid w:val="00115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A72"/>
    <w:pPr>
      <w:tabs>
        <w:tab w:val="left" w:pos="3600"/>
        <w:tab w:val="left" w:pos="3958"/>
      </w:tabs>
    </w:pPr>
  </w:style>
  <w:style w:type="paragraph" w:customStyle="1" w:styleId="Note">
    <w:name w:val="Note"/>
    <w:basedOn w:val="BodyText"/>
    <w:rsid w:val="00115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A72"/>
    <w:pPr>
      <w:framePr w:wrap="auto" w:hAnchor="text" w:y="6049"/>
    </w:pPr>
    <w:rPr>
      <w:color w:val="000000"/>
      <w:sz w:val="40"/>
    </w:rPr>
  </w:style>
  <w:style w:type="paragraph" w:customStyle="1" w:styleId="TOCTitle">
    <w:name w:val="TOCTitle"/>
    <w:basedOn w:val="Heading1"/>
    <w:rsid w:val="00115A72"/>
    <w:pPr>
      <w:spacing w:after="240"/>
      <w:jc w:val="center"/>
      <w:outlineLvl w:val="9"/>
    </w:pPr>
    <w:rPr>
      <w:caps/>
    </w:rPr>
  </w:style>
  <w:style w:type="paragraph" w:customStyle="1" w:styleId="Version">
    <w:name w:val="Version"/>
    <w:rsid w:val="00115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A72"/>
    <w:pPr>
      <w:numPr>
        <w:numId w:val="13"/>
      </w:numPr>
      <w:tabs>
        <w:tab w:val="clear" w:pos="680"/>
      </w:tabs>
    </w:pPr>
  </w:style>
  <w:style w:type="paragraph" w:styleId="Index1">
    <w:name w:val="index 1"/>
    <w:basedOn w:val="Normal"/>
    <w:next w:val="Normal"/>
    <w:semiHidden/>
    <w:rsid w:val="00115A72"/>
    <w:pPr>
      <w:keepNext w:val="0"/>
      <w:tabs>
        <w:tab w:val="right" w:pos="4176"/>
      </w:tabs>
      <w:ind w:left="198" w:hanging="198"/>
    </w:pPr>
    <w:rPr>
      <w:rFonts w:ascii="Garamond" w:hAnsi="Garamond"/>
    </w:rPr>
  </w:style>
  <w:style w:type="paragraph" w:styleId="IndexHeading">
    <w:name w:val="index heading"/>
    <w:basedOn w:val="Normal"/>
    <w:next w:val="Index1"/>
    <w:semiHidden/>
    <w:rsid w:val="00115A72"/>
    <w:pPr>
      <w:spacing w:before="120" w:after="120"/>
    </w:pPr>
    <w:rPr>
      <w:rFonts w:ascii="Arial" w:hAnsi="Arial"/>
      <w:b/>
      <w:color w:val="918585"/>
      <w:sz w:val="24"/>
    </w:rPr>
  </w:style>
  <w:style w:type="paragraph" w:customStyle="1" w:styleId="Chapter">
    <w:name w:val="Chapter"/>
    <w:basedOn w:val="Normal"/>
    <w:rsid w:val="00115A72"/>
    <w:pPr>
      <w:spacing w:before="240"/>
    </w:pPr>
    <w:rPr>
      <w:rFonts w:ascii="Times New Roman" w:hAnsi="Times New Roman"/>
      <w:smallCaps/>
      <w:spacing w:val="80"/>
      <w:sz w:val="28"/>
    </w:rPr>
  </w:style>
  <w:style w:type="paragraph" w:customStyle="1" w:styleId="InChapter">
    <w:name w:val="InChapter"/>
    <w:basedOn w:val="Heading3"/>
    <w:rsid w:val="00115A72"/>
    <w:pPr>
      <w:spacing w:after="240"/>
      <w:outlineLvl w:val="9"/>
    </w:pPr>
    <w:rPr>
      <w:noProof/>
    </w:rPr>
  </w:style>
  <w:style w:type="paragraph" w:styleId="Index2">
    <w:name w:val="index 2"/>
    <w:basedOn w:val="Normal"/>
    <w:next w:val="Normal"/>
    <w:semiHidden/>
    <w:rsid w:val="00115A72"/>
    <w:pPr>
      <w:tabs>
        <w:tab w:val="right" w:pos="4176"/>
      </w:tabs>
      <w:ind w:left="568" w:hanging="284"/>
    </w:pPr>
    <w:rPr>
      <w:rFonts w:ascii="Garamond" w:hAnsi="Garamond"/>
    </w:rPr>
  </w:style>
  <w:style w:type="paragraph" w:customStyle="1" w:styleId="Byline">
    <w:name w:val="Byline"/>
    <w:rsid w:val="00115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A72"/>
    <w:pPr>
      <w:tabs>
        <w:tab w:val="clear" w:pos="3600"/>
        <w:tab w:val="clear" w:pos="3958"/>
      </w:tabs>
      <w:jc w:val="right"/>
    </w:pPr>
  </w:style>
  <w:style w:type="character" w:styleId="Emphasis">
    <w:name w:val="Emphasis"/>
    <w:basedOn w:val="DefaultParagraphFont"/>
    <w:qFormat/>
    <w:rsid w:val="00115A72"/>
    <w:rPr>
      <w:i/>
    </w:rPr>
  </w:style>
  <w:style w:type="paragraph" w:styleId="Caption">
    <w:name w:val="caption"/>
    <w:basedOn w:val="BodyText"/>
    <w:next w:val="Normal"/>
    <w:qFormat/>
    <w:rsid w:val="00115A72"/>
    <w:pPr>
      <w:framePr w:w="2268" w:hSpace="181" w:vSpace="181" w:wrap="around" w:vAnchor="text" w:hAnchor="page" w:x="1135" w:y="285" w:anchorLock="1"/>
    </w:pPr>
    <w:rPr>
      <w:i/>
    </w:rPr>
  </w:style>
  <w:style w:type="paragraph" w:customStyle="1" w:styleId="MiniTOCTitle">
    <w:name w:val="MiniTOCTitle"/>
    <w:basedOn w:val="Heading4"/>
    <w:rsid w:val="00115A72"/>
    <w:pPr>
      <w:spacing w:before="240"/>
      <w:outlineLvl w:val="9"/>
    </w:pPr>
    <w:rPr>
      <w:noProof/>
      <w:sz w:val="24"/>
    </w:rPr>
  </w:style>
  <w:style w:type="paragraph" w:customStyle="1" w:styleId="MiniTOCItem">
    <w:name w:val="MiniTOCItem"/>
    <w:basedOn w:val="ListBullet"/>
    <w:rsid w:val="00115A72"/>
    <w:pPr>
      <w:numPr>
        <w:numId w:val="0"/>
      </w:numPr>
      <w:tabs>
        <w:tab w:val="right" w:leader="dot" w:pos="6521"/>
      </w:tabs>
      <w:spacing w:before="0" w:after="0"/>
    </w:pPr>
  </w:style>
  <w:style w:type="paragraph" w:customStyle="1" w:styleId="TOFTitle">
    <w:name w:val="TOFTitle"/>
    <w:basedOn w:val="TOCTitle"/>
    <w:rsid w:val="00115A72"/>
  </w:style>
  <w:style w:type="paragraph" w:styleId="TableofFigures">
    <w:name w:val="table of figures"/>
    <w:basedOn w:val="Normal"/>
    <w:next w:val="Normal"/>
    <w:semiHidden/>
    <w:rsid w:val="00115A72"/>
    <w:pPr>
      <w:tabs>
        <w:tab w:val="right" w:leader="dot" w:pos="9072"/>
      </w:tabs>
      <w:ind w:left="970" w:hanging="403"/>
    </w:pPr>
    <w:rPr>
      <w:rFonts w:ascii="Times New Roman" w:hAnsi="Times New Roman"/>
      <w:b/>
    </w:rPr>
  </w:style>
  <w:style w:type="paragraph" w:styleId="ListNumber">
    <w:name w:val="List Number"/>
    <w:basedOn w:val="List"/>
    <w:rsid w:val="00115A72"/>
    <w:pPr>
      <w:numPr>
        <w:numId w:val="10"/>
      </w:numPr>
    </w:pPr>
  </w:style>
  <w:style w:type="character" w:customStyle="1" w:styleId="WingdingSymbols">
    <w:name w:val="Wingding Symbols"/>
    <w:rsid w:val="00115A72"/>
    <w:rPr>
      <w:rFonts w:ascii="Wingdings" w:hAnsi="Wingdings"/>
    </w:rPr>
  </w:style>
  <w:style w:type="paragraph" w:customStyle="1" w:styleId="TableHeading">
    <w:name w:val="Table Heading"/>
    <w:basedOn w:val="HeadingBase"/>
    <w:rsid w:val="00115A72"/>
    <w:pPr>
      <w:keepLines/>
      <w:pBdr>
        <w:bottom w:val="single" w:sz="6" w:space="1" w:color="918585"/>
      </w:pBdr>
      <w:spacing w:before="240"/>
    </w:pPr>
  </w:style>
  <w:style w:type="character" w:customStyle="1" w:styleId="HotSpot">
    <w:name w:val="HotSpot"/>
    <w:rsid w:val="00115A72"/>
    <w:rPr>
      <w:color w:val="0033CC"/>
      <w:u w:val="none"/>
    </w:rPr>
  </w:style>
  <w:style w:type="paragraph" w:customStyle="1" w:styleId="BodyTextRight">
    <w:name w:val="Body Text Right"/>
    <w:basedOn w:val="BodyText"/>
    <w:rsid w:val="00115A72"/>
    <w:pPr>
      <w:spacing w:before="0" w:after="0"/>
      <w:jc w:val="right"/>
    </w:pPr>
  </w:style>
  <w:style w:type="paragraph" w:styleId="Index3">
    <w:name w:val="index 3"/>
    <w:basedOn w:val="ListNumber2"/>
    <w:next w:val="Normal"/>
    <w:semiHidden/>
    <w:rsid w:val="00115A72"/>
    <w:pPr>
      <w:numPr>
        <w:numId w:val="0"/>
      </w:numPr>
      <w:tabs>
        <w:tab w:val="right" w:leader="dot" w:pos="4176"/>
      </w:tabs>
    </w:pPr>
  </w:style>
  <w:style w:type="paragraph" w:styleId="ListNumber2">
    <w:name w:val="List Number 2"/>
    <w:basedOn w:val="List2"/>
    <w:rsid w:val="00115A72"/>
    <w:pPr>
      <w:numPr>
        <w:numId w:val="9"/>
      </w:numPr>
      <w:tabs>
        <w:tab w:val="clear" w:pos="1060"/>
      </w:tabs>
    </w:pPr>
  </w:style>
  <w:style w:type="paragraph" w:customStyle="1" w:styleId="MarginNote">
    <w:name w:val="Margin Note"/>
    <w:basedOn w:val="BodyText"/>
    <w:rsid w:val="00115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A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A72"/>
    <w:rPr>
      <w:sz w:val="32"/>
    </w:rPr>
  </w:style>
  <w:style w:type="paragraph" w:customStyle="1" w:styleId="HeadingProcedure">
    <w:name w:val="Heading Procedure"/>
    <w:basedOn w:val="HeadingBase"/>
    <w:next w:val="Normal"/>
    <w:rsid w:val="00115A72"/>
    <w:pPr>
      <w:tabs>
        <w:tab w:val="left" w:pos="0"/>
      </w:tabs>
      <w:spacing w:before="120" w:after="60"/>
    </w:pPr>
    <w:rPr>
      <w:i/>
      <w:color w:val="918585"/>
      <w:sz w:val="22"/>
    </w:rPr>
  </w:style>
  <w:style w:type="paragraph" w:customStyle="1" w:styleId="TableBodyText">
    <w:name w:val="Table Body Text"/>
    <w:basedOn w:val="BodyText"/>
    <w:rsid w:val="00115A72"/>
    <w:pPr>
      <w:spacing w:before="60" w:after="60"/>
    </w:pPr>
  </w:style>
  <w:style w:type="paragraph" w:styleId="ListContinue">
    <w:name w:val="List Continue"/>
    <w:basedOn w:val="List"/>
    <w:rsid w:val="00115A72"/>
    <w:pPr>
      <w:ind w:firstLine="0"/>
    </w:pPr>
  </w:style>
  <w:style w:type="paragraph" w:customStyle="1" w:styleId="ListNote">
    <w:name w:val="List Note"/>
    <w:basedOn w:val="List"/>
    <w:rsid w:val="00115A72"/>
    <w:pPr>
      <w:pBdr>
        <w:top w:val="single" w:sz="6" w:space="2" w:color="918585"/>
        <w:bottom w:val="single" w:sz="6" w:space="2" w:color="918585"/>
      </w:pBdr>
      <w:tabs>
        <w:tab w:val="left" w:pos="1021"/>
      </w:tabs>
      <w:ind w:firstLine="0"/>
    </w:pPr>
  </w:style>
  <w:style w:type="paragraph" w:customStyle="1" w:styleId="Warning">
    <w:name w:val="Warning"/>
    <w:basedOn w:val="BodyText"/>
    <w:rsid w:val="00115A72"/>
    <w:pPr>
      <w:shd w:val="clear" w:color="auto" w:fill="D9D9D9"/>
      <w:tabs>
        <w:tab w:val="left" w:pos="992"/>
      </w:tabs>
      <w:ind w:left="119" w:right="119"/>
    </w:pPr>
    <w:rPr>
      <w:sz w:val="20"/>
    </w:rPr>
  </w:style>
  <w:style w:type="paragraph" w:customStyle="1" w:styleId="MarginIcons">
    <w:name w:val="Margin Icons"/>
    <w:basedOn w:val="BodyText"/>
    <w:rsid w:val="00115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A72"/>
    <w:rPr>
      <w:rFonts w:ascii="Courier New" w:hAnsi="Courier New"/>
    </w:rPr>
  </w:style>
  <w:style w:type="paragraph" w:customStyle="1" w:styleId="NoteBullet">
    <w:name w:val="Note Bullet"/>
    <w:basedOn w:val="Note"/>
    <w:rsid w:val="00115A72"/>
    <w:pPr>
      <w:tabs>
        <w:tab w:val="clear" w:pos="680"/>
      </w:tabs>
      <w:spacing w:before="60" w:after="60"/>
    </w:pPr>
  </w:style>
  <w:style w:type="paragraph" w:customStyle="1" w:styleId="SubHeading2">
    <w:name w:val="SubHeading2"/>
    <w:basedOn w:val="HeadingBase"/>
    <w:rsid w:val="00115A72"/>
    <w:pPr>
      <w:spacing w:before="240" w:after="60"/>
    </w:pPr>
    <w:rPr>
      <w:sz w:val="20"/>
    </w:rPr>
  </w:style>
  <w:style w:type="paragraph" w:customStyle="1" w:styleId="SubHeading1">
    <w:name w:val="SubHeading1"/>
    <w:basedOn w:val="HeadingBase"/>
    <w:rsid w:val="00115A72"/>
    <w:pPr>
      <w:spacing w:before="240" w:after="60"/>
    </w:pPr>
    <w:rPr>
      <w:color w:val="918585"/>
      <w:sz w:val="22"/>
    </w:rPr>
  </w:style>
  <w:style w:type="paragraph" w:customStyle="1" w:styleId="SideHeading">
    <w:name w:val="Side Heading"/>
    <w:basedOn w:val="HeadingBase"/>
    <w:rsid w:val="00115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A72"/>
    <w:pPr>
      <w:tabs>
        <w:tab w:val="num" w:pos="360"/>
      </w:tabs>
    </w:pPr>
  </w:style>
  <w:style w:type="paragraph" w:styleId="PlainText">
    <w:name w:val="Plain Text"/>
    <w:basedOn w:val="Normal"/>
    <w:link w:val="PlainTextChar"/>
    <w:rsid w:val="00115A72"/>
    <w:rPr>
      <w:sz w:val="20"/>
    </w:rPr>
  </w:style>
  <w:style w:type="character" w:customStyle="1" w:styleId="PlainTextChar">
    <w:name w:val="Plain Text Char"/>
    <w:basedOn w:val="DefaultParagraphFont"/>
    <w:link w:val="PlainText"/>
    <w:rsid w:val="00115A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A72"/>
    <w:rPr>
      <w:b/>
      <w:smallCaps/>
    </w:rPr>
  </w:style>
  <w:style w:type="paragraph" w:customStyle="1" w:styleId="TableListNumber">
    <w:name w:val="Table List Number"/>
    <w:basedOn w:val="ListNumber"/>
    <w:rsid w:val="00115A72"/>
    <w:pPr>
      <w:numPr>
        <w:numId w:val="0"/>
      </w:numPr>
    </w:pPr>
  </w:style>
  <w:style w:type="paragraph" w:styleId="TOC4">
    <w:name w:val="toc 4"/>
    <w:basedOn w:val="TOCBase"/>
    <w:next w:val="Normal"/>
    <w:semiHidden/>
    <w:rsid w:val="00115A72"/>
    <w:pPr>
      <w:tabs>
        <w:tab w:val="right" w:leader="dot" w:pos="9071"/>
      </w:tabs>
      <w:ind w:left="1701"/>
    </w:pPr>
  </w:style>
  <w:style w:type="paragraph" w:customStyle="1" w:styleId="ListAlpha">
    <w:name w:val="List Alpha"/>
    <w:basedOn w:val="List"/>
    <w:rsid w:val="00115A72"/>
    <w:pPr>
      <w:numPr>
        <w:numId w:val="8"/>
      </w:numPr>
    </w:pPr>
  </w:style>
  <w:style w:type="paragraph" w:customStyle="1" w:styleId="ListAlpha2">
    <w:name w:val="List Alpha 2"/>
    <w:basedOn w:val="List2"/>
    <w:rsid w:val="00115A72"/>
    <w:pPr>
      <w:numPr>
        <w:numId w:val="7"/>
      </w:numPr>
    </w:pPr>
  </w:style>
  <w:style w:type="paragraph" w:styleId="List2">
    <w:name w:val="List 2"/>
    <w:basedOn w:val="BodyText"/>
    <w:rsid w:val="00115A72"/>
    <w:pPr>
      <w:tabs>
        <w:tab w:val="left" w:pos="680"/>
      </w:tabs>
      <w:spacing w:before="60" w:after="60"/>
      <w:ind w:left="680" w:hanging="340"/>
    </w:pPr>
  </w:style>
  <w:style w:type="paragraph" w:styleId="List3">
    <w:name w:val="List 3"/>
    <w:basedOn w:val="BodyText"/>
    <w:rsid w:val="00115A72"/>
    <w:pPr>
      <w:tabs>
        <w:tab w:val="left" w:pos="1021"/>
      </w:tabs>
      <w:spacing w:before="60" w:after="60"/>
      <w:ind w:left="1020" w:hanging="340"/>
    </w:pPr>
  </w:style>
  <w:style w:type="paragraph" w:styleId="List4">
    <w:name w:val="List 4"/>
    <w:basedOn w:val="BodyText"/>
    <w:rsid w:val="00115A72"/>
    <w:pPr>
      <w:tabs>
        <w:tab w:val="left" w:pos="1361"/>
      </w:tabs>
      <w:spacing w:before="60" w:after="60"/>
      <w:ind w:left="1361" w:hanging="340"/>
    </w:pPr>
  </w:style>
  <w:style w:type="paragraph" w:styleId="List5">
    <w:name w:val="List 5"/>
    <w:basedOn w:val="BodyText"/>
    <w:rsid w:val="00115A72"/>
    <w:pPr>
      <w:tabs>
        <w:tab w:val="left" w:pos="1701"/>
      </w:tabs>
      <w:spacing w:before="60" w:after="60"/>
      <w:ind w:left="1701" w:hanging="340"/>
    </w:pPr>
  </w:style>
  <w:style w:type="paragraph" w:styleId="ListBullet3">
    <w:name w:val="List Bullet 3"/>
    <w:basedOn w:val="List3"/>
    <w:rsid w:val="00115A72"/>
    <w:pPr>
      <w:numPr>
        <w:numId w:val="14"/>
      </w:numPr>
      <w:tabs>
        <w:tab w:val="clear" w:pos="1021"/>
      </w:tabs>
      <w:ind w:left="1037" w:hanging="357"/>
    </w:pPr>
  </w:style>
  <w:style w:type="paragraph" w:styleId="ListBullet4">
    <w:name w:val="List Bullet 4"/>
    <w:basedOn w:val="List4"/>
    <w:rsid w:val="00115A72"/>
    <w:pPr>
      <w:numPr>
        <w:numId w:val="2"/>
      </w:numPr>
    </w:pPr>
  </w:style>
  <w:style w:type="paragraph" w:styleId="ListBullet5">
    <w:name w:val="List Bullet 5"/>
    <w:basedOn w:val="List5"/>
    <w:rsid w:val="00115A72"/>
    <w:pPr>
      <w:numPr>
        <w:numId w:val="3"/>
      </w:numPr>
    </w:pPr>
  </w:style>
  <w:style w:type="paragraph" w:styleId="ListContinue2">
    <w:name w:val="List Continue 2"/>
    <w:basedOn w:val="List2"/>
    <w:rsid w:val="00115A72"/>
    <w:pPr>
      <w:ind w:firstLine="0"/>
    </w:pPr>
  </w:style>
  <w:style w:type="paragraph" w:styleId="ListContinue3">
    <w:name w:val="List Continue 3"/>
    <w:basedOn w:val="List3"/>
    <w:rsid w:val="00115A72"/>
    <w:pPr>
      <w:ind w:left="1021" w:firstLine="0"/>
    </w:pPr>
  </w:style>
  <w:style w:type="paragraph" w:styleId="ListContinue4">
    <w:name w:val="List Continue 4"/>
    <w:basedOn w:val="List4"/>
    <w:rsid w:val="00115A72"/>
    <w:pPr>
      <w:ind w:firstLine="0"/>
    </w:pPr>
  </w:style>
  <w:style w:type="paragraph" w:styleId="ListContinue5">
    <w:name w:val="List Continue 5"/>
    <w:basedOn w:val="List5"/>
    <w:rsid w:val="00115A72"/>
    <w:pPr>
      <w:ind w:firstLine="0"/>
    </w:pPr>
  </w:style>
  <w:style w:type="paragraph" w:styleId="ListNumber3">
    <w:name w:val="List Number 3"/>
    <w:basedOn w:val="List3"/>
    <w:rsid w:val="00115A72"/>
    <w:pPr>
      <w:numPr>
        <w:numId w:val="4"/>
      </w:numPr>
    </w:pPr>
  </w:style>
  <w:style w:type="paragraph" w:styleId="ListNumber4">
    <w:name w:val="List Number 4"/>
    <w:basedOn w:val="List4"/>
    <w:rsid w:val="00115A72"/>
    <w:pPr>
      <w:numPr>
        <w:numId w:val="5"/>
      </w:numPr>
    </w:pPr>
  </w:style>
  <w:style w:type="paragraph" w:styleId="ListNumber5">
    <w:name w:val="List Number 5"/>
    <w:basedOn w:val="List5"/>
    <w:rsid w:val="00115A72"/>
    <w:pPr>
      <w:numPr>
        <w:numId w:val="6"/>
      </w:numPr>
    </w:pPr>
  </w:style>
  <w:style w:type="paragraph" w:styleId="BlockText">
    <w:name w:val="Block Text"/>
    <w:basedOn w:val="Normal"/>
    <w:rsid w:val="00115A72"/>
    <w:pPr>
      <w:spacing w:after="120"/>
      <w:ind w:left="1440" w:right="1440"/>
    </w:pPr>
  </w:style>
  <w:style w:type="character" w:customStyle="1" w:styleId="Subscript">
    <w:name w:val="Subscript"/>
    <w:basedOn w:val="DefaultParagraphFont"/>
    <w:rsid w:val="00115A72"/>
    <w:rPr>
      <w:sz w:val="16"/>
      <w:vertAlign w:val="subscript"/>
    </w:rPr>
  </w:style>
  <w:style w:type="character" w:customStyle="1" w:styleId="Superscript">
    <w:name w:val="Superscript"/>
    <w:basedOn w:val="DefaultParagraphFont"/>
    <w:rsid w:val="00115A72"/>
    <w:rPr>
      <w:sz w:val="16"/>
      <w:vertAlign w:val="superscript"/>
    </w:rPr>
  </w:style>
  <w:style w:type="character" w:customStyle="1" w:styleId="Symbols">
    <w:name w:val="Symbols"/>
    <w:basedOn w:val="DefaultParagraphFont"/>
    <w:rsid w:val="00115A72"/>
    <w:rPr>
      <w:rFonts w:ascii="Symbol" w:hAnsi="Symbol"/>
    </w:rPr>
  </w:style>
  <w:style w:type="character" w:customStyle="1" w:styleId="MenuOptions">
    <w:name w:val="Menu Options"/>
    <w:basedOn w:val="DefaultParagraphFont"/>
    <w:rsid w:val="00115A72"/>
    <w:rPr>
      <w:rFonts w:ascii="Arial Narrow" w:hAnsi="Arial Narrow"/>
      <w:smallCaps/>
    </w:rPr>
  </w:style>
  <w:style w:type="character" w:customStyle="1" w:styleId="Buttons">
    <w:name w:val="Buttons"/>
    <w:basedOn w:val="DefaultParagraphFont"/>
    <w:rsid w:val="00115A72"/>
    <w:rPr>
      <w:b/>
    </w:rPr>
  </w:style>
  <w:style w:type="character" w:customStyle="1" w:styleId="Underlined">
    <w:name w:val="Underlined"/>
    <w:basedOn w:val="DefaultParagraphFont"/>
    <w:rsid w:val="00115A72"/>
    <w:rPr>
      <w:u w:val="single"/>
    </w:rPr>
  </w:style>
  <w:style w:type="paragraph" w:customStyle="1" w:styleId="TableBodyTextRight">
    <w:name w:val="Table Body Text Right"/>
    <w:basedOn w:val="TableBodyText"/>
    <w:rsid w:val="00115A72"/>
    <w:pPr>
      <w:widowControl w:val="0"/>
      <w:autoSpaceDE w:val="0"/>
      <w:autoSpaceDN w:val="0"/>
      <w:adjustRightInd w:val="0"/>
      <w:jc w:val="right"/>
    </w:pPr>
    <w:rPr>
      <w:rFonts w:cs="Arial"/>
      <w:szCs w:val="18"/>
    </w:rPr>
  </w:style>
  <w:style w:type="paragraph" w:customStyle="1" w:styleId="CopyrightText">
    <w:name w:val="Copyright Text"/>
    <w:basedOn w:val="BodyText"/>
    <w:rsid w:val="00115A72"/>
    <w:rPr>
      <w:sz w:val="18"/>
    </w:rPr>
  </w:style>
  <w:style w:type="paragraph" w:customStyle="1" w:styleId="BodySmallRight">
    <w:name w:val="Body Small Right"/>
    <w:basedOn w:val="BodyTextRight"/>
    <w:rsid w:val="00115A72"/>
    <w:rPr>
      <w:sz w:val="18"/>
      <w:szCs w:val="18"/>
    </w:rPr>
  </w:style>
  <w:style w:type="paragraph" w:customStyle="1" w:styleId="MarginEdition">
    <w:name w:val="Margin Edition"/>
    <w:basedOn w:val="MarginNote"/>
    <w:rsid w:val="00115A72"/>
    <w:pPr>
      <w:spacing w:before="0" w:after="0"/>
    </w:pPr>
    <w:rPr>
      <w:rFonts w:ascii="Times New Roman" w:hAnsi="Times New Roman"/>
      <w:color w:val="999999"/>
    </w:rPr>
  </w:style>
  <w:style w:type="paragraph" w:customStyle="1" w:styleId="Spacer">
    <w:name w:val="Spacer"/>
    <w:basedOn w:val="Normal"/>
    <w:rsid w:val="00115A72"/>
    <w:rPr>
      <w:sz w:val="2"/>
      <w:szCs w:val="2"/>
    </w:rPr>
  </w:style>
  <w:style w:type="character" w:customStyle="1" w:styleId="Small">
    <w:name w:val="Small"/>
    <w:basedOn w:val="DefaultParagraphFont"/>
    <w:rsid w:val="00115A72"/>
    <w:rPr>
      <w:sz w:val="16"/>
    </w:rPr>
  </w:style>
  <w:style w:type="paragraph" w:customStyle="1" w:styleId="WideTable">
    <w:name w:val="Wide Table"/>
    <w:basedOn w:val="Normal"/>
    <w:rsid w:val="00115A72"/>
    <w:pPr>
      <w:ind w:left="-1418"/>
    </w:pPr>
    <w:rPr>
      <w:sz w:val="2"/>
      <w:szCs w:val="2"/>
    </w:rPr>
  </w:style>
  <w:style w:type="character" w:styleId="PageNumber">
    <w:name w:val="page number"/>
    <w:basedOn w:val="DefaultParagraphFont"/>
    <w:rsid w:val="00115A72"/>
  </w:style>
  <w:style w:type="paragraph" w:styleId="Quote">
    <w:name w:val="Quote"/>
    <w:basedOn w:val="Heading1"/>
    <w:link w:val="QuoteChar"/>
    <w:qFormat/>
    <w:rsid w:val="00115A72"/>
    <w:rPr>
      <w:b w:val="0"/>
      <w:sz w:val="72"/>
      <w:szCs w:val="72"/>
      <w:lang w:val="en-NZ"/>
    </w:rPr>
  </w:style>
  <w:style w:type="character" w:customStyle="1" w:styleId="QuoteChar">
    <w:name w:val="Quote Char"/>
    <w:basedOn w:val="DefaultParagraphFont"/>
    <w:link w:val="Quote"/>
    <w:rsid w:val="00115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A72"/>
    <w:pPr>
      <w:pageBreakBefore/>
    </w:pPr>
  </w:style>
  <w:style w:type="paragraph" w:customStyle="1" w:styleId="Border">
    <w:name w:val="Border"/>
    <w:basedOn w:val="Normal"/>
    <w:qFormat/>
    <w:rsid w:val="00115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A72"/>
    <w:rPr>
      <w:b/>
      <w:bCs/>
      <w:i/>
      <w:iCs/>
      <w:color w:val="auto"/>
    </w:rPr>
  </w:style>
  <w:style w:type="paragraph" w:styleId="IntenseQuote">
    <w:name w:val="Intense Quote"/>
    <w:basedOn w:val="Normal"/>
    <w:next w:val="Normal"/>
    <w:link w:val="IntenseQuoteChar"/>
    <w:uiPriority w:val="30"/>
    <w:qFormat/>
    <w:rsid w:val="00115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A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A72"/>
    <w:rPr>
      <w:smallCaps/>
      <w:color w:val="auto"/>
      <w:u w:val="single"/>
    </w:rPr>
  </w:style>
  <w:style w:type="character" w:styleId="IntenseReference">
    <w:name w:val="Intense Reference"/>
    <w:basedOn w:val="DefaultParagraphFont"/>
    <w:uiPriority w:val="32"/>
    <w:qFormat/>
    <w:rsid w:val="00115A72"/>
    <w:rPr>
      <w:b/>
      <w:bCs/>
      <w:smallCaps/>
      <w:color w:val="auto"/>
      <w:spacing w:val="5"/>
      <w:u w:val="single"/>
    </w:rPr>
  </w:style>
  <w:style w:type="paragraph" w:customStyle="1" w:styleId="2ColumnHeading">
    <w:name w:val="2Column Heading"/>
    <w:basedOn w:val="BodyText"/>
    <w:qFormat/>
    <w:rsid w:val="00115A72"/>
    <w:pPr>
      <w:spacing w:after="60"/>
      <w:ind w:left="-2268"/>
    </w:pPr>
    <w:rPr>
      <w:b/>
    </w:rPr>
  </w:style>
  <w:style w:type="paragraph" w:customStyle="1" w:styleId="Heading1TOC">
    <w:name w:val="Heading1 TOC"/>
    <w:basedOn w:val="Normal"/>
    <w:qFormat/>
    <w:rsid w:val="00115A72"/>
    <w:pPr>
      <w:spacing w:before="240" w:after="120"/>
    </w:pPr>
    <w:rPr>
      <w:rFonts w:ascii="Times New Roman" w:hAnsi="Times New Roman"/>
      <w:b/>
      <w:sz w:val="32"/>
    </w:rPr>
  </w:style>
  <w:style w:type="paragraph" w:customStyle="1" w:styleId="Heading2TOC">
    <w:name w:val="Heading2 TOC"/>
    <w:basedOn w:val="Normal"/>
    <w:qFormat/>
    <w:rsid w:val="00115A72"/>
    <w:pPr>
      <w:spacing w:before="240" w:after="60"/>
    </w:pPr>
    <w:rPr>
      <w:rFonts w:ascii="Times New Roman" w:hAnsi="Times New Roman"/>
      <w:b/>
      <w:sz w:val="28"/>
    </w:rPr>
  </w:style>
  <w:style w:type="character" w:customStyle="1" w:styleId="Underline">
    <w:name w:val="Underline"/>
    <w:basedOn w:val="DefaultParagraphFont"/>
    <w:qFormat/>
    <w:rsid w:val="00115A72"/>
    <w:rPr>
      <w:u w:val="single"/>
    </w:rPr>
  </w:style>
  <w:style w:type="character" w:customStyle="1" w:styleId="BoldandItalics">
    <w:name w:val="Bold and Italics"/>
    <w:qFormat/>
    <w:rsid w:val="00115A72"/>
    <w:rPr>
      <w:b/>
      <w:i/>
      <w:u w:val="none"/>
    </w:rPr>
  </w:style>
  <w:style w:type="paragraph" w:styleId="BalloonText">
    <w:name w:val="Balloon Text"/>
    <w:basedOn w:val="Normal"/>
    <w:link w:val="BalloonTextChar"/>
    <w:rsid w:val="00115A72"/>
    <w:rPr>
      <w:rFonts w:ascii="Tahoma" w:hAnsi="Tahoma" w:cs="Tahoma"/>
      <w:sz w:val="16"/>
      <w:szCs w:val="16"/>
    </w:rPr>
  </w:style>
  <w:style w:type="character" w:customStyle="1" w:styleId="BalloonTextChar">
    <w:name w:val="Balloon Text Char"/>
    <w:basedOn w:val="DefaultParagraphFont"/>
    <w:link w:val="BalloonText"/>
    <w:rsid w:val="00115A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A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A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1813</Words>
  <Characters>11580</Characters>
  <Application>Microsoft Office Word</Application>
  <DocSecurity>0</DocSecurity>
  <Lines>347</Lines>
  <Paragraphs>206</Paragraphs>
  <ScaleCrop>false</ScaleCrop>
  <Company>Author-it Software Corporation Ltd.</Company>
  <LinksUpToDate>false</LinksUpToDate>
  <CharactersWithSpaces>13312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AVIF3004B Supervise the safety of aerodrome works and general access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