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920" w:rsidP="00332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AVIY5048 Provide approach control services</w:t>
      </w:r>
      <w:r>
        <w:fldChar w:fldCharType="end"/>
      </w:r>
    </w:p>
    <w:p w:rsidR="00332920" w:rsidP="00332920">
      <w:pPr>
        <w:pStyle w:val="Version"/>
        <w:sectPr w:rsidSect="002C4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C46F1" w:rsidP="002C46F1">
      <w:pPr>
        <w:pStyle w:val="SuperHeading"/>
      </w:pPr>
      <w:r w:rsidRPr="002C46F1">
        <w:t>AVIY5048 Provide approach control services</w:t>
      </w:r>
    </w:p>
    <w:p w:rsidR="00000000" w:rsidRPr="002C46F1" w:rsidP="002C46F1">
      <w:pPr>
        <w:pStyle w:val="Heading1"/>
      </w:pPr>
      <w:bookmarkStart w:id="1" w:name="O_1240990"/>
      <w:bookmarkEnd w:id="1"/>
      <w:r w:rsidRPr="002C46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Release 3. This is the third release of this unit of competency in the AVI Aviation Training Package.</w:t>
            </w:r>
          </w:p>
          <w:p w:rsidR="00000000" w:rsidRPr="002C46F1" w:rsidP="002C46F1">
            <w:pPr>
              <w:pStyle w:val="BodyText"/>
            </w:pPr>
            <w:r w:rsidRPr="002C46F1">
              <w:t>Release 2. ISC upgrade - a statement relevant to Defence Aviation has been added to the Application of the unit.</w:t>
            </w:r>
          </w:p>
          <w:p w:rsidR="00000000" w:rsidRPr="002C46F1" w:rsidP="002C46F1">
            <w:pPr>
              <w:pStyle w:val="BodyText"/>
            </w:pPr>
            <w:r w:rsidRPr="002C46F1">
              <w:t>Release 1. This is t</w:t>
            </w:r>
            <w:r w:rsidRPr="002C46F1">
              <w:t>he first release of this unit of competency in the AVI Aviation Training Package.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2" w:name="O_1240989"/>
      <w:bookmarkEnd w:id="2"/>
      <w:r w:rsidRPr="002C46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This unit involves the skills and knowledge required to provide approach control services during air traffic control (ATC) operations in comp</w:t>
            </w:r>
            <w:r w:rsidRPr="002C46F1">
              <w:t>liance with relevant regulatory requirements of the Civil Aviation Safety Authority (CASA) and national operating standards.</w:t>
            </w:r>
          </w:p>
          <w:p w:rsidR="00000000" w:rsidRPr="002C46F1" w:rsidP="002C46F1">
            <w:pPr>
              <w:pStyle w:val="BodyText"/>
            </w:pPr>
            <w:r w:rsidRPr="002C46F1">
              <w:t>It includes managing terminal airspaces and assuring separation.</w:t>
            </w:r>
          </w:p>
          <w:p w:rsidR="00000000" w:rsidRPr="002C46F1" w:rsidP="002C46F1">
            <w:pPr>
              <w:pStyle w:val="BodyText"/>
            </w:pPr>
            <w:r w:rsidRPr="002C46F1">
              <w:t>This unit is applied to specific terminal airspaces that offer var</w:t>
            </w:r>
            <w:r w:rsidRPr="002C46F1">
              <w:t>ying levels of air traffic services according to the International Civil Aviation Organization (ICAO) and national classifications of airspaces.</w:t>
            </w:r>
          </w:p>
          <w:p w:rsidR="00000000" w:rsidRPr="002C46F1" w:rsidP="002C46F1">
            <w:pPr>
              <w:pStyle w:val="BodyText"/>
            </w:pPr>
            <w:r w:rsidRPr="002C46F1">
              <w:t>This unit addresses aviation technical skill requirements (physical, mental, and task-management abilities) rel</w:t>
            </w:r>
            <w:r w:rsidRPr="002C46F1">
              <w:t>ated to ATC duties that complement the non-technical skills of Air Traffic Controllers and contribute to safe and effective performance in complex aviation operational environments.</w:t>
            </w:r>
          </w:p>
          <w:p w:rsidR="00000000" w:rsidRPr="002C46F1" w:rsidP="002C46F1">
            <w:pPr>
              <w:pStyle w:val="BodyText"/>
            </w:pPr>
            <w:r w:rsidRPr="002C46F1">
              <w:t>Operations are conducted as part of commercial and military air traffic se</w:t>
            </w:r>
            <w:r w:rsidRPr="002C46F1">
              <w:t>rvices across a variety of operational contexts within the Australian aviation industry.</w:t>
            </w:r>
          </w:p>
          <w:p w:rsidR="00000000" w:rsidRPr="002C46F1" w:rsidP="002C46F1">
            <w:pPr>
              <w:pStyle w:val="BodyText"/>
            </w:pPr>
            <w:r w:rsidRPr="002C46F1">
              <w:t>Work is performed independently or under supervision as a single operator or within a team environment.</w:t>
            </w:r>
          </w:p>
          <w:p w:rsidR="00000000" w:rsidRPr="002C46F1" w:rsidP="002C46F1">
            <w:pPr>
              <w:pStyle w:val="BodyText"/>
            </w:pPr>
            <w:r w:rsidRPr="002C46F1">
              <w:t>Licensing, legislative, regulatory or certification requirement</w:t>
            </w:r>
            <w:r w:rsidRPr="002C46F1">
              <w:t>s are applicable to this unit.</w:t>
            </w:r>
          </w:p>
          <w:p w:rsidR="00000000" w:rsidRPr="002C46F1" w:rsidP="002C46F1">
            <w:pPr>
              <w:pStyle w:val="BodyText"/>
            </w:pPr>
            <w:r w:rsidRPr="002C46F1">
              <w:t>Use for Defence Aviation is to be in accordance with relevant Defence Orders, Instructions, Publications and Regulations.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3" w:name="O_1240988"/>
      <w:bookmarkEnd w:id="3"/>
      <w:r w:rsidRPr="002C46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Not applicable.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4" w:name="O_1240987"/>
      <w:bookmarkEnd w:id="4"/>
      <w:r w:rsidRPr="002C46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Y –</w:t>
            </w:r>
            <w:r w:rsidRPr="002C46F1">
              <w:t xml:space="preserve"> Aircraft Operation and Traffic Management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5" w:name="O_1240986"/>
      <w:bookmarkEnd w:id="5"/>
      <w:r w:rsidRPr="002C46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Not applicable.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6" w:name="O_1240985"/>
      <w:bookmarkEnd w:id="6"/>
      <w:r w:rsidRPr="002C46F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58"/>
        <w:gridCol w:w="2258"/>
        <w:gridCol w:w="1651"/>
        <w:gridCol w:w="4730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rPr>
                <w:rStyle w:val="SpecialBold"/>
              </w:rPr>
              <w:t>ELEMENTS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PERFORMANCE CRITERIA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Elements describe the essential outcomes.</w:t>
            </w:r>
          </w:p>
        </w:tc>
        <w:tc>
          <w:tcPr>
            <w:tcW w:w="63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Performance criteria describe the performance needed to demonstrate achievement of the element.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rPr>
                <w:rStyle w:val="SpecialBold"/>
              </w:rPr>
              <w:t>1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rPr>
                <w:rStyle w:val="SpecialBold"/>
              </w:rPr>
              <w:t>Manage terminal airspaces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Traffic priorities are applied in accordance with standard operating procedure (SOPs)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Service priorities are applied in</w:t>
            </w:r>
            <w:r w:rsidRPr="002C46F1">
              <w:t xml:space="preserve"> accordance with that which is most safety critical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Hazards are identified, risks are assessed, and risk controls are implemented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Control practices and procedures are adjusted in accordance with changing airspace environment factors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Systematic scan technique of terminal airspace and air routes is maintained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 xml:space="preserve">Standard routing is facilitated 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Documented instructions and agreements applicable to the area of jurisdiction are applied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1.8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Non-compliance with control instructions and procedures is recognised and addressed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1.9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Terrain and obstacle clearance is provided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1.10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 xml:space="preserve">Pilot preferred altitudes or flight levels are facilitated 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Aircraft are authorised to use terminal airspa</w:t>
            </w:r>
            <w:r w:rsidRPr="002C46F1">
              <w:t>ces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Control services are provided in accordance with airspace classification and status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Airspaces are administered in accordance with user activity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 xml:space="preserve">Flight deviations and diversions are facilitated 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Suitable runway mode is negotiated with aerodrome control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Aircraft release for departure is authorised in accordance with runway mode and airspace configuration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1.17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Aircraft approach to land is authorised in accordance with runway mode and airspace configuration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rPr>
                <w:rStyle w:val="SpecialBold"/>
              </w:rPr>
              <w:t>2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rPr>
                <w:rStyle w:val="SpecialBold"/>
              </w:rPr>
              <w:t xml:space="preserve">Assure separation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2.1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Conflicts are recognised and resolved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2.2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Separation is provided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2.3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Jurisdiction for maintaining aircraft separation is agreed and assigned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2.4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Alternative separation is provided as required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2.5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Separation is adjusted when systems are degraded or airways facilities are reduced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2.6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t>Most appropriate separation is ap</w:t>
            </w:r>
            <w:r w:rsidRPr="002C46F1">
              <w:t>plied taking into account safety, expedition, control method and surveillance</w:t>
            </w:r>
          </w:p>
        </w:tc>
      </w:tr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>
            <w:pPr>
              <w:pStyle w:val="BodyText"/>
              <w:keepLines w:val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F1">
            <w:pPr>
              <w:pStyle w:val="BodyText"/>
              <w:rPr>
                <w:lang w:val="en-NZ"/>
              </w:rPr>
            </w:pPr>
            <w:r w:rsidRPr="002C46F1">
              <w:rPr>
                <w:rStyle w:val="SpecialBold"/>
              </w:rPr>
              <w:t>2.7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Compromised separation is recognised and addressed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7" w:name="O_1240984"/>
      <w:bookmarkEnd w:id="7"/>
      <w:r w:rsidRPr="002C46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Foundation skills essential to performance are explicit in the performance criteria of this unit of competency.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8" w:name="O_1240983"/>
      <w:bookmarkEnd w:id="8"/>
      <w:r w:rsidRPr="002C46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Range is restricted to essential operating conditions and any other variables essential to the work env</w:t>
            </w:r>
            <w:r w:rsidRPr="002C46F1">
              <w:t>ironment.</w:t>
            </w:r>
          </w:p>
          <w:p w:rsidR="00000000" w:rsidRPr="002C46F1" w:rsidP="002C46F1">
            <w:pPr>
              <w:pStyle w:val="BodyText"/>
            </w:pPr>
            <w:r w:rsidRPr="002C46F1">
              <w:t>Non-essential conditions can be found in the AVI Aviation Training Package Companion Volume Implementation Guide.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9" w:name="O_1240982"/>
      <w:bookmarkEnd w:id="9"/>
      <w:r w:rsidRPr="002C46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46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F1" w:rsidP="002C46F1">
            <w:pPr>
              <w:pStyle w:val="BodyText"/>
            </w:pPr>
            <w:r w:rsidRPr="002C46F1">
              <w:t>This unit replaces and is equivalent to AVIY5048A Provide approach control services.</w:t>
            </w:r>
          </w:p>
        </w:tc>
      </w:tr>
    </w:tbl>
    <w:p w:rsidR="00000000" w:rsidRPr="002C46F1" w:rsidP="002C46F1">
      <w:pPr>
        <w:pStyle w:val="NoPaddingFontSize1"/>
      </w:pPr>
    </w:p>
    <w:p w:rsidR="00000000" w:rsidRPr="002C46F1" w:rsidP="002C46F1">
      <w:pPr>
        <w:pStyle w:val="AllowPageBreak"/>
      </w:pPr>
    </w:p>
    <w:p w:rsidR="00000000" w:rsidRPr="002C46F1" w:rsidP="002C46F1">
      <w:pPr>
        <w:pStyle w:val="Heading1"/>
      </w:pPr>
      <w:bookmarkStart w:id="10" w:name="O_1240991"/>
      <w:bookmarkEnd w:id="10"/>
      <w:r w:rsidRPr="002C46F1">
        <w:t>Links</w:t>
      </w:r>
    </w:p>
    <w:p w:rsidR="00000000" w:rsidRPr="002C46F1" w:rsidP="00332920">
      <w:pPr>
        <w:pStyle w:val="BodyText"/>
      </w:pPr>
      <w:r w:rsidRPr="002C46F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C072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C46F1" w:rsidP="002C46F1"/>
    <w:sectPr w:rsidSect="002C4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F1" w:rsidRPr="00332920" w:rsidP="00332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20" w:rsidP="002C4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920" w:rsidP="002C4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2920" w:rsidP="002C4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6F1" w:rsidRPr="00332920" w:rsidP="00332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20" w:rsidRPr="002D2AF8" w:rsidP="002C4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AVIY5048 Provide approach control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32920" w:rsidP="002C4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6F1"/>
  </w:style>
  <w:style w:type="character" w:customStyle="1" w:styleId="Heading1Char">
    <w:name w:val="Heading 1 Char"/>
    <w:basedOn w:val="DefaultParagraphFont"/>
    <w:link w:val="Heading1"/>
    <w:rsid w:val="002C4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6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46F1"/>
    <w:rPr>
      <w:b/>
      <w:spacing w:val="0"/>
    </w:rPr>
  </w:style>
  <w:style w:type="paragraph" w:customStyle="1" w:styleId="SuperHeading">
    <w:name w:val="SuperHeading"/>
    <w:basedOn w:val="Normal"/>
    <w:rsid w:val="002C4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4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6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6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4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6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6F1"/>
    <w:rPr>
      <w:i/>
    </w:rPr>
  </w:style>
  <w:style w:type="paragraph" w:styleId="Caption">
    <w:name w:val="caption"/>
    <w:basedOn w:val="BodyText"/>
    <w:next w:val="Normal"/>
    <w:qFormat/>
    <w:rsid w:val="002C4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6F1"/>
  </w:style>
  <w:style w:type="paragraph" w:styleId="TableofFigures">
    <w:name w:val="table of figures"/>
    <w:basedOn w:val="Normal"/>
    <w:next w:val="Normal"/>
    <w:semiHidden/>
    <w:rsid w:val="002C4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6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46F1"/>
    <w:rPr>
      <w:rFonts w:ascii="Wingdings" w:hAnsi="Wingdings"/>
    </w:rPr>
  </w:style>
  <w:style w:type="paragraph" w:customStyle="1" w:styleId="TableHeading">
    <w:name w:val="Table Heading"/>
    <w:basedOn w:val="HeadingBase"/>
    <w:rsid w:val="002C4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6F1"/>
    <w:rPr>
      <w:color w:val="0033CC"/>
      <w:u w:val="none"/>
    </w:rPr>
  </w:style>
  <w:style w:type="paragraph" w:customStyle="1" w:styleId="BodyTextRight">
    <w:name w:val="Body Text Right"/>
    <w:basedOn w:val="BodyText"/>
    <w:rsid w:val="002C4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6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6F1"/>
    <w:rPr>
      <w:sz w:val="32"/>
    </w:rPr>
  </w:style>
  <w:style w:type="paragraph" w:customStyle="1" w:styleId="HeadingProcedure">
    <w:name w:val="Heading Procedure"/>
    <w:basedOn w:val="HeadingBase"/>
    <w:next w:val="Normal"/>
    <w:rsid w:val="002C4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6F1"/>
    <w:pPr>
      <w:spacing w:before="60" w:after="60"/>
    </w:pPr>
  </w:style>
  <w:style w:type="paragraph" w:styleId="ListContinue">
    <w:name w:val="List Continue"/>
    <w:basedOn w:val="List"/>
    <w:rsid w:val="002C46F1"/>
    <w:pPr>
      <w:ind w:firstLine="0"/>
    </w:pPr>
  </w:style>
  <w:style w:type="paragraph" w:customStyle="1" w:styleId="ListNote">
    <w:name w:val="List Note"/>
    <w:basedOn w:val="List"/>
    <w:rsid w:val="002C4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6F1"/>
    <w:rPr>
      <w:rFonts w:ascii="Courier New" w:hAnsi="Courier New"/>
    </w:rPr>
  </w:style>
  <w:style w:type="paragraph" w:customStyle="1" w:styleId="NoteBullet">
    <w:name w:val="Note Bullet"/>
    <w:basedOn w:val="Note"/>
    <w:rsid w:val="002C4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6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4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6F1"/>
    <w:rPr>
      <w:b/>
      <w:smallCaps/>
    </w:rPr>
  </w:style>
  <w:style w:type="paragraph" w:customStyle="1" w:styleId="TableListNumber">
    <w:name w:val="Table List Number"/>
    <w:basedOn w:val="ListNumber"/>
    <w:rsid w:val="002C4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6F1"/>
    <w:pPr>
      <w:numPr>
        <w:numId w:val="7"/>
      </w:numPr>
    </w:pPr>
  </w:style>
  <w:style w:type="paragraph" w:customStyle="1" w:styleId="ListAlpha2">
    <w:name w:val="List Alpha 2"/>
    <w:basedOn w:val="List2"/>
    <w:rsid w:val="002C46F1"/>
    <w:pPr>
      <w:numPr>
        <w:numId w:val="6"/>
      </w:numPr>
    </w:pPr>
  </w:style>
  <w:style w:type="paragraph" w:styleId="List2">
    <w:name w:val="List 2"/>
    <w:basedOn w:val="BodyText"/>
    <w:rsid w:val="002C4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6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6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46F1"/>
    <w:pPr>
      <w:numPr>
        <w:numId w:val="2"/>
      </w:numPr>
    </w:pPr>
  </w:style>
  <w:style w:type="paragraph" w:styleId="ListContinue2">
    <w:name w:val="List Continue 2"/>
    <w:basedOn w:val="List2"/>
    <w:rsid w:val="002C46F1"/>
    <w:pPr>
      <w:ind w:firstLine="0"/>
    </w:pPr>
  </w:style>
  <w:style w:type="paragraph" w:styleId="ListContinue3">
    <w:name w:val="List Continue 3"/>
    <w:basedOn w:val="List3"/>
    <w:rsid w:val="002C46F1"/>
    <w:pPr>
      <w:ind w:left="1021" w:firstLine="0"/>
    </w:pPr>
  </w:style>
  <w:style w:type="paragraph" w:styleId="ListContinue4">
    <w:name w:val="List Continue 4"/>
    <w:basedOn w:val="List4"/>
    <w:rsid w:val="002C46F1"/>
    <w:pPr>
      <w:ind w:firstLine="0"/>
    </w:pPr>
  </w:style>
  <w:style w:type="paragraph" w:styleId="ListContinue5">
    <w:name w:val="List Continue 5"/>
    <w:basedOn w:val="List5"/>
    <w:rsid w:val="002C46F1"/>
    <w:pPr>
      <w:ind w:firstLine="0"/>
    </w:pPr>
  </w:style>
  <w:style w:type="paragraph" w:styleId="ListNumber3">
    <w:name w:val="List Number 3"/>
    <w:basedOn w:val="List3"/>
    <w:rsid w:val="002C46F1"/>
    <w:pPr>
      <w:numPr>
        <w:numId w:val="3"/>
      </w:numPr>
    </w:pPr>
  </w:style>
  <w:style w:type="paragraph" w:styleId="ListNumber4">
    <w:name w:val="List Number 4"/>
    <w:basedOn w:val="List4"/>
    <w:rsid w:val="002C46F1"/>
    <w:pPr>
      <w:numPr>
        <w:numId w:val="4"/>
      </w:numPr>
    </w:pPr>
  </w:style>
  <w:style w:type="paragraph" w:styleId="ListNumber5">
    <w:name w:val="List Number 5"/>
    <w:basedOn w:val="List5"/>
    <w:rsid w:val="002C46F1"/>
    <w:pPr>
      <w:numPr>
        <w:numId w:val="5"/>
      </w:numPr>
    </w:pPr>
  </w:style>
  <w:style w:type="paragraph" w:styleId="BlockText">
    <w:name w:val="Block Text"/>
    <w:basedOn w:val="Normal"/>
    <w:rsid w:val="002C4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6F1"/>
    <w:rPr>
      <w:sz w:val="16"/>
      <w:vertAlign w:val="superscript"/>
    </w:rPr>
  </w:style>
  <w:style w:type="character" w:customStyle="1" w:styleId="Symbols">
    <w:name w:val="Symbols"/>
    <w:basedOn w:val="DefaultParagraphFont"/>
    <w:rsid w:val="002C46F1"/>
    <w:rPr>
      <w:rFonts w:ascii="Symbol" w:hAnsi="Symbol"/>
    </w:rPr>
  </w:style>
  <w:style w:type="character" w:customStyle="1" w:styleId="MenuOptions">
    <w:name w:val="Menu Options"/>
    <w:basedOn w:val="DefaultParagraphFont"/>
    <w:rsid w:val="002C4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6F1"/>
    <w:rPr>
      <w:b/>
    </w:rPr>
  </w:style>
  <w:style w:type="character" w:customStyle="1" w:styleId="Underlined">
    <w:name w:val="Underlined"/>
    <w:basedOn w:val="DefaultParagraphFont"/>
    <w:rsid w:val="002C46F1"/>
    <w:rPr>
      <w:u w:val="single"/>
    </w:rPr>
  </w:style>
  <w:style w:type="paragraph" w:customStyle="1" w:styleId="TableBodyTextRight">
    <w:name w:val="Table Body Text Right"/>
    <w:basedOn w:val="TableBodyText"/>
    <w:rsid w:val="002C4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6F1"/>
    <w:rPr>
      <w:sz w:val="18"/>
    </w:rPr>
  </w:style>
  <w:style w:type="paragraph" w:customStyle="1" w:styleId="BodySmallRight">
    <w:name w:val="Body Small Right"/>
    <w:basedOn w:val="BodyTextRight"/>
    <w:rsid w:val="002C46F1"/>
    <w:rPr>
      <w:sz w:val="18"/>
      <w:szCs w:val="18"/>
    </w:rPr>
  </w:style>
  <w:style w:type="paragraph" w:customStyle="1" w:styleId="MarginEdition">
    <w:name w:val="Margin Edition"/>
    <w:basedOn w:val="MarginNote"/>
    <w:rsid w:val="002C4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6F1"/>
    <w:rPr>
      <w:sz w:val="2"/>
      <w:szCs w:val="2"/>
    </w:rPr>
  </w:style>
  <w:style w:type="character" w:customStyle="1" w:styleId="Small">
    <w:name w:val="Small"/>
    <w:basedOn w:val="DefaultParagraphFont"/>
    <w:rsid w:val="002C46F1"/>
    <w:rPr>
      <w:sz w:val="16"/>
    </w:rPr>
  </w:style>
  <w:style w:type="paragraph" w:customStyle="1" w:styleId="WideTable">
    <w:name w:val="Wide Table"/>
    <w:basedOn w:val="Normal"/>
    <w:rsid w:val="002C4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6F1"/>
  </w:style>
  <w:style w:type="paragraph" w:styleId="Quote">
    <w:name w:val="Quote"/>
    <w:basedOn w:val="Heading1"/>
    <w:link w:val="QuoteChar"/>
    <w:qFormat/>
    <w:rsid w:val="002C4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6F1"/>
    <w:pPr>
      <w:pageBreakBefore/>
    </w:pPr>
  </w:style>
  <w:style w:type="paragraph" w:customStyle="1" w:styleId="Border">
    <w:name w:val="Border"/>
    <w:basedOn w:val="Normal"/>
    <w:qFormat/>
    <w:rsid w:val="002C4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6F1"/>
    <w:rPr>
      <w:u w:val="single"/>
    </w:rPr>
  </w:style>
  <w:style w:type="character" w:customStyle="1" w:styleId="BoldandItalics">
    <w:name w:val="Bold and Italics"/>
    <w:qFormat/>
    <w:rsid w:val="002C46F1"/>
    <w:rPr>
      <w:b/>
      <w:i/>
      <w:u w:val="none"/>
    </w:rPr>
  </w:style>
  <w:style w:type="paragraph" w:styleId="BalloonText">
    <w:name w:val="Balloon Text"/>
    <w:basedOn w:val="Normal"/>
    <w:link w:val="BalloonTextChar"/>
    <w:rsid w:val="002C4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6F1"/>
    <w:pPr>
      <w:spacing w:before="0" w:after="0"/>
    </w:pPr>
  </w:style>
  <w:style w:type="paragraph" w:customStyle="1" w:styleId="BodyTextBold">
    <w:name w:val="Body Text Bold"/>
    <w:basedOn w:val="BodyText"/>
    <w:qFormat/>
    <w:rsid w:val="002C46F1"/>
    <w:rPr>
      <w:b/>
    </w:rPr>
  </w:style>
  <w:style w:type="character" w:styleId="Hyperlink">
    <w:name w:val="Hyperlink"/>
    <w:basedOn w:val="DefaultParagraphFont"/>
    <w:uiPriority w:val="99"/>
    <w:unhideWhenUsed/>
    <w:rsid w:val="00332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4163</Characters>
  <Application>Microsoft Office Word</Application>
  <DocSecurity>0</DocSecurity>
  <Lines>208</Lines>
  <Paragraphs>107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AVIY5048 Provide approach control services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