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269" w:rsidP="00071269">
      <w:pPr>
        <w:pStyle w:val="Title"/>
      </w:pPr>
      <w:r>
        <w:fldChar w:fldCharType="begin"/>
      </w:r>
      <w:r>
        <w:instrText xml:space="preserve"> TITLE   \* MERGEFORMAT </w:instrText>
      </w:r>
      <w:r>
        <w:fldChar w:fldCharType="separate"/>
      </w:r>
      <w:r>
        <w:t>AVIY5036 Conduct a 3D instrument landing system instrument approach</w:t>
      </w:r>
      <w:r>
        <w:fldChar w:fldCharType="end"/>
      </w:r>
    </w:p>
    <w:p w:rsidR="00071269" w:rsidP="00071269">
      <w:pPr>
        <w:pStyle w:val="Version"/>
        <w:sectPr w:rsidSect="00401D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1D1C" w:rsidP="00401D1C">
      <w:pPr>
        <w:pStyle w:val="SuperHeading"/>
      </w:pPr>
      <w:r w:rsidRPr="00401D1C">
        <w:t>AVIY5036 Cond</w:t>
      </w:r>
      <w:r w:rsidRPr="00401D1C">
        <w:t>uct a 3D instrument landing system instrument approach</w:t>
      </w:r>
    </w:p>
    <w:p w:rsidR="00000000" w:rsidRPr="00401D1C" w:rsidP="00401D1C">
      <w:pPr>
        <w:pStyle w:val="Heading1"/>
      </w:pPr>
      <w:bookmarkStart w:id="1" w:name="O_667002"/>
      <w:bookmarkEnd w:id="1"/>
      <w:r w:rsidRPr="00401D1C">
        <w:t>Modification History</w:t>
      </w:r>
    </w:p>
    <w:p w:rsidR="00071269" w:rsidP="00071269">
      <w:pPr>
        <w:pStyle w:val="BodyText"/>
      </w:pPr>
      <w:r w:rsidRPr="00401D1C">
        <w:t>Release 1. This is the first release of this unit of competency in the AVI Aviation Training Package.</w:t>
      </w:r>
    </w:p>
    <w:p w:rsidR="00000000" w:rsidRPr="00401D1C" w:rsidP="00401D1C">
      <w:pPr>
        <w:pStyle w:val="Heading1"/>
      </w:pPr>
      <w:bookmarkStart w:id="2" w:name="O_667003"/>
      <w:bookmarkEnd w:id="2"/>
      <w:r w:rsidRPr="00401D1C">
        <w:t>Application</w:t>
      </w:r>
    </w:p>
    <w:tbl>
      <w:tblPr>
        <w:tblW w:w="9498" w:type="dxa"/>
        <w:tblLayout w:type="fixed"/>
        <w:tblCellMar>
          <w:left w:w="62" w:type="dxa"/>
          <w:right w:w="62" w:type="dxa"/>
        </w:tblCellMar>
        <w:tblLook w:val="0000"/>
      </w:tblPr>
      <w:tblGrid>
        <w:gridCol w:w="9498"/>
      </w:tblGrid>
      <w:tr w:rsidTr="00401D1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01D1C" w:rsidP="00401D1C">
            <w:pPr>
              <w:pStyle w:val="BodyText"/>
            </w:pPr>
            <w:r w:rsidRPr="00401D1C">
              <w:t>This unit involves the skills and knowledge required to conduct a 3D instrument approach using instrument landing system (ILS) procedures, in compliance with relevant regulatory requirements of the Civil Aviation Safety Authority and national operating sta</w:t>
            </w:r>
            <w:r w:rsidRPr="00401D1C">
              <w:t>ndards.</w:t>
            </w:r>
          </w:p>
          <w:p w:rsidR="00000000" w:rsidRPr="00401D1C" w:rsidP="00401D1C">
            <w:pPr>
              <w:pStyle w:val="BodyText"/>
            </w:pPr>
            <w:r w:rsidRPr="00401D1C">
              <w:t>It includes selecting and preparing for approach, and monitoring aid signal integrity. It also includes conducting initial approach, holding pattern, approach and missed approach procedures.</w:t>
            </w:r>
          </w:p>
          <w:p w:rsidR="00000000" w:rsidRPr="00401D1C" w:rsidP="00401D1C">
            <w:pPr>
              <w:pStyle w:val="BodyText"/>
            </w:pPr>
            <w:r w:rsidRPr="00401D1C">
              <w:t>This unit addresses aviation technical skill requirements</w:t>
            </w:r>
            <w:r w:rsidRPr="00401D1C">
              <w:t xml:space="preserve"> (physical, mental and task-management abilities) related to aircraft operational duties of flight crew and contributes to safe and effective performance in complex aviation operational environments.</w:t>
            </w:r>
          </w:p>
          <w:p w:rsidR="00000000" w:rsidRPr="00401D1C" w:rsidP="00401D1C">
            <w:pPr>
              <w:pStyle w:val="BodyText"/>
            </w:pPr>
            <w:r w:rsidRPr="00401D1C">
              <w:t>Operations are conducted as part of recreational, commer</w:t>
            </w:r>
            <w:r w:rsidRPr="00401D1C">
              <w:t>cial and military aircraft activities across a variety of operational contexts within the Australian aviation industry.</w:t>
            </w:r>
          </w:p>
          <w:p w:rsidR="00000000" w:rsidRPr="00401D1C" w:rsidP="00401D1C">
            <w:pPr>
              <w:pStyle w:val="BodyText"/>
            </w:pPr>
            <w:r w:rsidRPr="00401D1C">
              <w:t>Work is performed independently or under limited supervision within a single-pilot or multi-crew environment.</w:t>
            </w:r>
          </w:p>
          <w:p w:rsidR="00000000" w:rsidRPr="00401D1C" w:rsidP="00401D1C">
            <w:pPr>
              <w:pStyle w:val="BodyText"/>
            </w:pPr>
            <w:r w:rsidRPr="00401D1C">
              <w:t>Licensing, legislative, re</w:t>
            </w:r>
            <w:r w:rsidRPr="00401D1C">
              <w:t>gulatory or certification requirements are applicable to this unit.</w:t>
            </w:r>
          </w:p>
          <w:p w:rsidR="00000000" w:rsidRPr="00401D1C" w:rsidP="00401D1C">
            <w:pPr>
              <w:pStyle w:val="BodyText"/>
            </w:pPr>
            <w:r w:rsidRPr="00401D1C">
              <w:t>Use for Defence Aviation is to be in accordance with relevant Defence Orders, Instructions, Publications and Regulations.</w:t>
            </w:r>
          </w:p>
        </w:tc>
      </w:tr>
    </w:tbl>
    <w:p w:rsidR="00071269" w:rsidP="00401D1C">
      <w:pPr>
        <w:pStyle w:val="BodyText"/>
      </w:pPr>
    </w:p>
    <w:p w:rsidR="00071269" w:rsidP="00401D1C">
      <w:pPr>
        <w:pStyle w:val="BodyText"/>
      </w:pPr>
    </w:p>
    <w:p w:rsidR="00000000" w:rsidRPr="00401D1C" w:rsidP="00401D1C">
      <w:pPr>
        <w:pStyle w:val="Heading1"/>
      </w:pPr>
      <w:bookmarkStart w:id="3" w:name="O_667004"/>
      <w:bookmarkEnd w:id="3"/>
      <w:r w:rsidRPr="00401D1C">
        <w:t>Pre-requisite Unit</w:t>
      </w:r>
    </w:p>
    <w:p w:rsidR="00071269" w:rsidP="00071269">
      <w:pPr>
        <w:pStyle w:val="BodyText"/>
      </w:pPr>
      <w:r w:rsidRPr="00401D1C">
        <w:t>Not applicable.</w:t>
      </w:r>
    </w:p>
    <w:p w:rsidR="00000000" w:rsidRPr="00401D1C" w:rsidP="00401D1C">
      <w:pPr>
        <w:pStyle w:val="Heading1"/>
      </w:pPr>
      <w:bookmarkStart w:id="4" w:name="O_667005"/>
      <w:bookmarkEnd w:id="4"/>
      <w:r w:rsidRPr="00401D1C">
        <w:t>Competency Field</w:t>
      </w:r>
    </w:p>
    <w:p w:rsidR="00071269" w:rsidP="00071269">
      <w:pPr>
        <w:pStyle w:val="BodyText"/>
      </w:pPr>
      <w:r w:rsidRPr="00401D1C">
        <w:t>Y – Aircraft Operation and Traffic Management</w:t>
      </w:r>
    </w:p>
    <w:p w:rsidR="00000000" w:rsidRPr="00401D1C" w:rsidP="00401D1C">
      <w:pPr>
        <w:pStyle w:val="Heading1"/>
      </w:pPr>
      <w:bookmarkStart w:id="5" w:name="O_667006"/>
      <w:bookmarkEnd w:id="5"/>
      <w:r w:rsidRPr="00401D1C">
        <w:t>Unit Sector</w:t>
      </w:r>
    </w:p>
    <w:p w:rsidR="00071269" w:rsidP="00071269">
      <w:pPr>
        <w:pStyle w:val="BodyText"/>
      </w:pPr>
      <w:r w:rsidRPr="00401D1C">
        <w:t>Not applicable.</w:t>
      </w:r>
    </w:p>
    <w:p w:rsidR="00000000" w:rsidRPr="00401D1C" w:rsidP="00401D1C">
      <w:pPr>
        <w:pStyle w:val="Heading1"/>
      </w:pPr>
      <w:bookmarkStart w:id="6" w:name="O_667007"/>
      <w:bookmarkEnd w:id="6"/>
      <w:r w:rsidRPr="00401D1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07126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401D1C" w:rsidP="00401D1C">
            <w:pPr>
              <w:pStyle w:val="BodyText"/>
            </w:pPr>
            <w:r w:rsidRPr="00401D1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rPr>
                <w:rStyle w:val="SpecialBold"/>
              </w:rPr>
              <w:t>PERFORMANCE CRITERIA</w:t>
            </w:r>
          </w:p>
        </w:tc>
      </w:tr>
      <w:tr w:rsidTr="0007126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Perfor</w:t>
            </w:r>
            <w:r w:rsidRPr="00401D1C">
              <w:t>mance criteria describe the performance needed to demonstrate achievement of the element.</w:t>
            </w:r>
          </w:p>
        </w:tc>
      </w:tr>
      <w:tr w:rsidTr="0007126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01D1C" w:rsidP="00401D1C">
            <w:pPr>
              <w:pStyle w:val="BodyText"/>
            </w:pPr>
            <w:r w:rsidRPr="00401D1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rPr>
                <w:rStyle w:val="SpecialBold"/>
              </w:rPr>
              <w:t>Select and prepare for the approach</w:t>
            </w: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1.1</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Current instrument approach and landing (IAL) chart for the ILS approach to be flown is selected</w:t>
            </w:r>
          </w:p>
        </w:tc>
      </w:tr>
      <w:tr w:rsidTr="000712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1.2</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Navigation system validity and receiver autonomous integrity monitoring (RAIM)/space based augmentation system (SBAS) checks are conducted as required</w:t>
            </w:r>
          </w:p>
        </w:tc>
      </w:tr>
      <w:tr w:rsidTr="000712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1.3</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Instrument approach and missed approach procedure is planned and self-briefed or briefed to flight</w:t>
            </w:r>
            <w:r w:rsidRPr="00401D1C">
              <w:t xml:space="preserve"> crew as required</w:t>
            </w:r>
          </w:p>
        </w:tc>
      </w:tr>
      <w:tr w:rsidTr="000712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1.4</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Direct entry to the approach is reviewed, briefed to flight crew and evaluated</w:t>
            </w:r>
          </w:p>
        </w:tc>
      </w:tr>
      <w:tr w:rsidTr="000712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1.5</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Entry via holding pattern is reviewed, briefed to flight crew and evaluated</w:t>
            </w:r>
          </w:p>
        </w:tc>
      </w:tr>
      <w:tr w:rsidTr="000712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1.6</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Minimum altitude, lowest safe altitude (LSALT) or minimum safe altitude (MSA) prior to approach entry, is reviewed and briefed to flight crew in relation to tracks, distances, timing and descent limitations</w:t>
            </w:r>
          </w:p>
        </w:tc>
      </w:tr>
      <w:tr w:rsidTr="000712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1.7</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Applicable approach minima for aircraft pe</w:t>
            </w:r>
            <w:r w:rsidRPr="00401D1C">
              <w:t>rformance category and runway to be used is selected</w:t>
            </w:r>
          </w:p>
        </w:tc>
      </w:tr>
      <w:tr w:rsidTr="000712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1.8</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Pressure error correction for decision altitude (DA) is selected</w:t>
            </w:r>
          </w:p>
        </w:tc>
      </w:tr>
      <w:tr w:rsidTr="000712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1.9</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Holding or diversion action if visual reference is not established, is reviewed and briefed</w:t>
            </w:r>
          </w:p>
        </w:tc>
      </w:tr>
      <w:tr w:rsidTr="000712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1.10</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Fuel availability and latest divert time is selected as required</w:t>
            </w:r>
          </w:p>
        </w:tc>
      </w:tr>
      <w:tr w:rsidTr="000712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1.11</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Aircraft systems are configured for approach and altimeter is set to appropriate QNH</w:t>
            </w:r>
          </w:p>
        </w:tc>
      </w:tr>
      <w:tr w:rsidTr="0007126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01D1C" w:rsidP="00401D1C">
            <w:pPr>
              <w:pStyle w:val="BodyText"/>
            </w:pPr>
            <w:r w:rsidRPr="00401D1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rPr>
                <w:rStyle w:val="SpecialBold"/>
              </w:rPr>
              <w:t xml:space="preserve">Monitor aid signal </w:t>
            </w:r>
            <w:r w:rsidRPr="00401D1C">
              <w:rPr>
                <w:rStyle w:val="SpecialBold"/>
              </w:rPr>
              <w:t>integrity</w:t>
            </w: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2.1</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ILS to be used for selected approach is tuned and identified</w:t>
            </w:r>
          </w:p>
        </w:tc>
      </w:tr>
      <w:tr w:rsidTr="000712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2.2</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Warning flags and course deviation indicators (CDI) for localiser (LLZ) and glide slope is monitored throughout the approach to ensure signal integrity</w:t>
            </w:r>
          </w:p>
        </w:tc>
      </w:tr>
      <w:tr w:rsidTr="000712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2.3</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Locator beacons for approach are tuned and identified</w:t>
            </w:r>
          </w:p>
        </w:tc>
      </w:tr>
      <w:tr w:rsidTr="000712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2.4</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Marker beacon/s are tested and</w:t>
            </w:r>
            <w:r w:rsidRPr="00401D1C">
              <w:t xml:space="preserve"> monitored for visual and aural indications during approach</w:t>
            </w:r>
          </w:p>
        </w:tc>
      </w:tr>
      <w:tr w:rsidTr="000712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2.5</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Distance measuring equipment (DME) is tuned and identified or global navigation satellite system (GNSS) is configured for ILS approach as required</w:t>
            </w:r>
          </w:p>
        </w:tc>
      </w:tr>
      <w:tr w:rsidTr="000712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2.6</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DME/GNSS is monitored for distance indications during applicable approach</w:t>
            </w:r>
          </w:p>
        </w:tc>
      </w:tr>
      <w:tr w:rsidTr="00071269">
        <w:tblPrEx>
          <w:tblW w:w="9499" w:type="dxa"/>
          <w:tblLayout w:type="fixed"/>
          <w:tblCellMar>
            <w:left w:w="62" w:type="dxa"/>
            <w:right w:w="62" w:type="dxa"/>
          </w:tblCellMar>
          <w:tblLook w:val="0000"/>
        </w:tblPrEx>
        <w:trPr>
          <w:trHeight w:val="481"/>
        </w:trPr>
        <w:tc>
          <w:tcPr>
            <w:tcW w:w="432" w:type="dxa"/>
            <w:tcBorders>
              <w:top w:val="nil"/>
              <w:left w:val="nil"/>
              <w:bottom w:val="nil"/>
              <w:right w:val="nil"/>
            </w:tcBorders>
            <w:tcMar>
              <w:top w:w="0" w:type="dxa"/>
              <w:left w:w="62" w:type="dxa"/>
              <w:bottom w:w="0" w:type="dxa"/>
              <w:right w:w="62" w:type="dxa"/>
            </w:tcMar>
          </w:tcPr>
          <w:p w:rsidR="00000000" w:rsidRPr="00401D1C" w:rsidP="00401D1C">
            <w:pPr>
              <w:pStyle w:val="BodyText"/>
            </w:pPr>
            <w:r w:rsidRPr="00401D1C">
              <w:rPr>
                <w:rStyle w:val="SpecialBold"/>
              </w:rPr>
              <w:t>3</w:t>
            </w:r>
          </w:p>
        </w:tc>
        <w:tc>
          <w:tcPr>
            <w:tcW w:w="2303"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rPr>
                <w:rStyle w:val="SpecialBold"/>
              </w:rPr>
              <w:t>Conduct initial approach</w:t>
            </w: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3.1</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Altimeter is set to appropriate QNH</w:t>
            </w:r>
          </w:p>
        </w:tc>
      </w:tr>
      <w:tr w:rsidTr="00071269">
        <w:tblPrEx>
          <w:tblW w:w="9499" w:type="dxa"/>
          <w:tblLayout w:type="fixed"/>
          <w:tblCellMar>
            <w:left w:w="62" w:type="dxa"/>
            <w:right w:w="62" w:type="dxa"/>
          </w:tblCellMar>
          <w:tblLook w:val="0000"/>
        </w:tblPrEx>
        <w:trPr>
          <w:trHeight w:val="481"/>
        </w:trPr>
        <w:tc>
          <w:tcPr>
            <w:tcW w:w="4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3.2</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Holding fix is identified and aircraft is manoeuvred to appropriate sector entry position</w:t>
            </w:r>
          </w:p>
        </w:tc>
      </w:tr>
      <w:tr w:rsidTr="00071269">
        <w:tblPrEx>
          <w:tblW w:w="9499" w:type="dxa"/>
          <w:tblLayout w:type="fixed"/>
          <w:tblCellMar>
            <w:left w:w="62" w:type="dxa"/>
            <w:right w:w="62" w:type="dxa"/>
          </w:tblCellMar>
          <w:tblLook w:val="0000"/>
        </w:tblPrEx>
        <w:trPr>
          <w:trHeight w:val="481"/>
        </w:trPr>
        <w:tc>
          <w:tcPr>
            <w:tcW w:w="432" w:type="dxa"/>
            <w:vMerge w:val="restart"/>
            <w:tcBorders>
              <w:top w:val="nil"/>
              <w:left w:val="nil"/>
              <w:bottom w:val="nil"/>
              <w:right w:val="nil"/>
            </w:tcBorders>
            <w:tcMar>
              <w:top w:w="0" w:type="dxa"/>
              <w:left w:w="62" w:type="dxa"/>
              <w:bottom w:w="0" w:type="dxa"/>
              <w:right w:w="62" w:type="dxa"/>
            </w:tcMar>
          </w:tcPr>
          <w:p w:rsidR="00000000" w:rsidRPr="00401D1C" w:rsidP="00401D1C">
            <w:pPr>
              <w:pStyle w:val="BodyText"/>
            </w:pPr>
            <w:r w:rsidRPr="00401D1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rPr>
                <w:rStyle w:val="SpecialBold"/>
              </w:rPr>
              <w:t>Conduct holding pattern</w:t>
            </w: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4.1</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Holding pattern at or above LSALT or MSA is entered in accordance with specified sector entry</w:t>
            </w:r>
          </w:p>
        </w:tc>
      </w:tr>
      <w:tr w:rsidTr="00071269">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4.2</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Holding pattern is performed in accordance with instructions in aeronautical information publication (AIP), using the LLZ and a</w:t>
            </w:r>
            <w:r w:rsidRPr="00401D1C">
              <w:t>ny other navigation aids</w:t>
            </w:r>
          </w:p>
        </w:tc>
      </w:tr>
      <w:tr w:rsidTr="00071269">
        <w:tblPrEx>
          <w:tblW w:w="9499" w:type="dxa"/>
          <w:tblLayout w:type="fixed"/>
          <w:tblCellMar>
            <w:left w:w="62" w:type="dxa"/>
            <w:right w:w="62" w:type="dxa"/>
          </w:tblCellMar>
          <w:tblLook w:val="0000"/>
        </w:tblPrEx>
        <w:trPr>
          <w:trHeight w:val="481"/>
        </w:trPr>
        <w:tc>
          <w:tcPr>
            <w:tcW w:w="432" w:type="dxa"/>
            <w:vMerge w:val="restart"/>
            <w:tcBorders>
              <w:top w:val="nil"/>
              <w:left w:val="nil"/>
              <w:bottom w:val="nil"/>
              <w:right w:val="nil"/>
            </w:tcBorders>
            <w:tcMar>
              <w:top w:w="0" w:type="dxa"/>
              <w:left w:w="62" w:type="dxa"/>
              <w:bottom w:w="0" w:type="dxa"/>
              <w:right w:w="62" w:type="dxa"/>
            </w:tcMar>
          </w:tcPr>
          <w:p w:rsidR="00000000" w:rsidRPr="00401D1C" w:rsidP="00401D1C">
            <w:pPr>
              <w:pStyle w:val="BodyText"/>
            </w:pPr>
            <w:r w:rsidRPr="00401D1C">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rPr>
                <w:rStyle w:val="SpecialBold"/>
              </w:rPr>
              <w:t>Conduct approach procedure</w:t>
            </w: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5.1</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Aircraft is tracked to initial approach fix using appropriate tracking aids or radar vectors at or above route MSA or LSALT, to intercept the LLZ track</w:t>
            </w:r>
          </w:p>
        </w:tc>
      </w:tr>
      <w:tr w:rsidTr="00071269">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5.2</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ILS approach is conducted from initial approach fix with tracking by reference to LLZ and descent by reference to glide path</w:t>
            </w:r>
          </w:p>
        </w:tc>
      </w:tr>
      <w:tr w:rsidTr="00071269">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5.3</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Marker beacons, DME/GNSS or approved alternative fix are used to provide distance indications</w:t>
            </w:r>
          </w:p>
        </w:tc>
      </w:tr>
      <w:tr w:rsidTr="00071269">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5.4</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Specified altitude check on glide slope is performed</w:t>
            </w:r>
          </w:p>
        </w:tc>
      </w:tr>
      <w:tr w:rsidTr="00071269">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5.5</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Continued descent on glide slope to the DA is performed in accordance with AIP</w:t>
            </w:r>
          </w:p>
        </w:tc>
      </w:tr>
      <w:tr w:rsidTr="00071269">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5.6</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Landing runway is identified</w:t>
            </w:r>
          </w:p>
        </w:tc>
      </w:tr>
      <w:tr w:rsidTr="00071269">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5.7</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 xml:space="preserve">Runway or circling approach for a landing is conducted in accordance with </w:t>
            </w:r>
            <w:r w:rsidRPr="00401D1C">
              <w:t>AIP after visual reference is established</w:t>
            </w:r>
          </w:p>
        </w:tc>
      </w:tr>
      <w:tr w:rsidTr="00071269">
        <w:tblPrEx>
          <w:tblW w:w="9499" w:type="dxa"/>
          <w:tblLayout w:type="fixed"/>
          <w:tblCellMar>
            <w:left w:w="62" w:type="dxa"/>
            <w:right w:w="62" w:type="dxa"/>
          </w:tblCellMar>
          <w:tblLook w:val="0000"/>
        </w:tblPrEx>
        <w:trPr>
          <w:trHeight w:val="481"/>
        </w:trPr>
        <w:tc>
          <w:tcPr>
            <w:tcW w:w="432" w:type="dxa"/>
            <w:vMerge w:val="restart"/>
            <w:tcBorders>
              <w:top w:val="nil"/>
              <w:left w:val="nil"/>
              <w:bottom w:val="nil"/>
              <w:right w:val="nil"/>
            </w:tcBorders>
            <w:tcMar>
              <w:top w:w="0" w:type="dxa"/>
              <w:left w:w="62" w:type="dxa"/>
              <w:bottom w:w="0" w:type="dxa"/>
              <w:right w:w="62" w:type="dxa"/>
            </w:tcMar>
          </w:tcPr>
          <w:p w:rsidR="00000000" w:rsidRPr="00401D1C" w:rsidP="00401D1C">
            <w:pPr>
              <w:pStyle w:val="BodyText"/>
            </w:pPr>
            <w:r w:rsidRPr="00401D1C">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rPr>
                <w:rStyle w:val="SpecialBold"/>
              </w:rPr>
              <w:t>Conduct missed approach procedure</w:t>
            </w: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6.1</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Conditions requiring a missed approach are recognised and missed approach is initiated</w:t>
            </w:r>
          </w:p>
        </w:tc>
      </w:tr>
      <w:tr w:rsidTr="00071269">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6.2</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Aircraft is manoeuvred to missed approach point (MAPt)</w:t>
            </w:r>
          </w:p>
        </w:tc>
      </w:tr>
      <w:tr w:rsidTr="00071269">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6.3</w:t>
            </w:r>
          </w:p>
        </w:tc>
        <w:tc>
          <w:tcPr>
            <w:tcW w:w="6045"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Missed approach procedure is conducted in accordance with the IAL chart</w:t>
            </w:r>
          </w:p>
        </w:tc>
      </w:tr>
      <w:tr w:rsidTr="00071269">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01D1C">
            <w:pPr>
              <w:pStyle w:val="BodyText"/>
              <w:rPr>
                <w:lang w:val="en-NZ"/>
              </w:rPr>
            </w:pPr>
            <w:r w:rsidRPr="00401D1C">
              <w:t>6.4</w:t>
            </w:r>
          </w:p>
        </w:tc>
        <w:tc>
          <w:tcPr>
            <w:tcW w:w="6045" w:type="dxa"/>
            <w:tcBorders>
              <w:top w:val="nil"/>
              <w:left w:val="nil"/>
              <w:bottom w:val="nil"/>
              <w:right w:val="nil"/>
            </w:tcBorders>
            <w:tcMar>
              <w:top w:w="0" w:type="dxa"/>
              <w:left w:w="62" w:type="dxa"/>
              <w:bottom w:w="0" w:type="dxa"/>
              <w:right w:w="62" w:type="dxa"/>
            </w:tcMar>
          </w:tcPr>
          <w:p w:rsidR="00000000" w:rsidRPr="00401D1C" w:rsidP="00401D1C">
            <w:pPr>
              <w:pStyle w:val="BodyText"/>
            </w:pPr>
            <w:r w:rsidRPr="00401D1C">
              <w:t>Obstacle clearance in IMC is maintained</w:t>
            </w:r>
          </w:p>
        </w:tc>
      </w:tr>
    </w:tbl>
    <w:p w:rsidR="00071269" w:rsidP="00401D1C">
      <w:pPr>
        <w:pStyle w:val="BodyText"/>
      </w:pPr>
    </w:p>
    <w:p w:rsidR="00071269" w:rsidP="00401D1C">
      <w:pPr>
        <w:pStyle w:val="BodyText"/>
      </w:pPr>
    </w:p>
    <w:p w:rsidR="00000000" w:rsidRPr="00401D1C" w:rsidP="00401D1C">
      <w:pPr>
        <w:pStyle w:val="Heading1"/>
      </w:pPr>
      <w:bookmarkStart w:id="7" w:name="O_667008"/>
      <w:bookmarkEnd w:id="7"/>
      <w:r w:rsidRPr="00401D1C">
        <w:t>Foundation Skills</w:t>
      </w:r>
    </w:p>
    <w:p w:rsidR="00071269" w:rsidP="00071269">
      <w:pPr>
        <w:pStyle w:val="BodyText"/>
      </w:pPr>
      <w:r w:rsidRPr="00401D1C">
        <w:t>Foundation skills essential to performance are explicit in the performance criteria of this unit of competency.</w:t>
      </w:r>
    </w:p>
    <w:p w:rsidR="00000000" w:rsidRPr="00401D1C" w:rsidP="00401D1C">
      <w:pPr>
        <w:pStyle w:val="Heading1"/>
      </w:pPr>
      <w:bookmarkStart w:id="8" w:name="O_667009"/>
      <w:bookmarkEnd w:id="8"/>
      <w:r w:rsidRPr="00401D1C">
        <w:t>Range of Conditions</w:t>
      </w:r>
    </w:p>
    <w:p w:rsidR="00071269" w:rsidP="00071269">
      <w:pPr>
        <w:pStyle w:val="BodyText"/>
      </w:pPr>
      <w:r w:rsidRPr="00401D1C">
        <w:t>Range is restricted to essential operating conditions and any other variables essential to the work enviro</w:t>
      </w:r>
      <w:r w:rsidRPr="00401D1C">
        <w:t>nment.</w:t>
      </w:r>
    </w:p>
    <w:p w:rsidR="00000000" w:rsidRPr="00401D1C" w:rsidP="00401D1C">
      <w:pPr>
        <w:pStyle w:val="Heading1"/>
      </w:pPr>
      <w:bookmarkStart w:id="9" w:name="O_667010"/>
      <w:bookmarkEnd w:id="9"/>
      <w:r w:rsidRPr="00401D1C">
        <w:t>Unit Mapping Information</w:t>
      </w:r>
    </w:p>
    <w:p w:rsidR="00071269" w:rsidP="00071269">
      <w:pPr>
        <w:pStyle w:val="BodyText"/>
      </w:pPr>
      <w:r w:rsidRPr="00401D1C">
        <w:t>This unit replaces and is equivalent to AVIY5036A Perform instrument landing system (ILS) instrument approach.</w:t>
      </w:r>
    </w:p>
    <w:p w:rsidR="00000000" w:rsidRPr="00401D1C" w:rsidP="00401D1C">
      <w:pPr>
        <w:pStyle w:val="Heading1"/>
      </w:pPr>
      <w:bookmarkStart w:id="10" w:name="O_667017"/>
      <w:bookmarkEnd w:id="10"/>
      <w:r w:rsidRPr="00401D1C">
        <w:t>Links</w:t>
      </w:r>
    </w:p>
    <w:p w:rsidR="00000000" w:rsidRPr="00401D1C" w:rsidP="00071269">
      <w:pPr>
        <w:pStyle w:val="BodyText"/>
      </w:pPr>
      <w:r w:rsidRPr="00401D1C">
        <w:t>Companion Volume implementation guides are found in VETNe</w:t>
      </w:r>
      <w:r w:rsidRPr="00401D1C">
        <w:t xml:space="preserve">t - </w:t>
      </w:r>
      <w:r>
        <w:fldChar w:fldCharType="begin"/>
      </w:r>
      <w:r>
        <w:instrText xml:space="preserve"> HYPERLINK "https://vetnet.education.gov.au/Pages/TrainingDocs.aspx?q=4725260a-0af3-4daf-912b-ef1c2f3e5816" </w:instrText>
      </w:r>
      <w:r>
        <w:fldChar w:fldCharType="separate"/>
      </w:r>
      <w:r w:rsidRPr="007B7F86">
        <w:rPr>
          <w:rStyle w:val="Hyperlink"/>
        </w:rPr>
        <w:t>https://vetnet.education.gov.au/Pages/TrainingDocs.aspx?q=4725260a-0af3-4daf-912b-ef1c2f3e5816</w:t>
      </w:r>
      <w:r>
        <w:fldChar w:fldCharType="end"/>
      </w:r>
    </w:p>
    <w:p w:rsidR="00000000" w:rsidRPr="00401D1C" w:rsidP="00401D1C"/>
    <w:sectPr w:rsidSect="00401D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D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D1C" w:rsidRPr="00071269" w:rsidP="000712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D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69" w:rsidP="00401D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71269" w:rsidP="00401D1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71269" w:rsidP="00401D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D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1D1C" w:rsidRPr="00071269" w:rsidP="000712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D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69" w:rsidRPr="002D2AF8" w:rsidP="00401D1C">
    <w:pPr>
      <w:pStyle w:val="Header"/>
      <w:framePr w:wrap="around"/>
    </w:pPr>
    <w:r>
      <w:fldChar w:fldCharType="begin"/>
    </w:r>
    <w:r>
      <w:instrText xml:space="preserve"> TITLE   \* MERGEFORMAT </w:instrText>
    </w:r>
    <w:r>
      <w:fldChar w:fldCharType="separate"/>
    </w:r>
    <w:r>
      <w:t>AVIY5036 Conduct a 3D instrument landing system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071269" w:rsidP="00401D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D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1D1C"/>
    <w:pPr>
      <w:spacing w:before="360" w:after="60"/>
      <w:outlineLvl w:val="0"/>
    </w:pPr>
    <w:rPr>
      <w:sz w:val="32"/>
    </w:rPr>
  </w:style>
  <w:style w:type="paragraph" w:styleId="Heading2">
    <w:name w:val="heading 2"/>
    <w:basedOn w:val="HeadingBase"/>
    <w:next w:val="BodyText"/>
    <w:link w:val="Heading2Char"/>
    <w:qFormat/>
    <w:rsid w:val="00401D1C"/>
    <w:pPr>
      <w:keepLines/>
      <w:spacing w:before="240" w:after="120"/>
      <w:outlineLvl w:val="1"/>
    </w:pPr>
    <w:rPr>
      <w:sz w:val="28"/>
      <w:szCs w:val="40"/>
    </w:rPr>
  </w:style>
  <w:style w:type="paragraph" w:styleId="Heading3">
    <w:name w:val="heading 3"/>
    <w:basedOn w:val="HeadingBase"/>
    <w:next w:val="BodyText"/>
    <w:link w:val="Heading3Char"/>
    <w:qFormat/>
    <w:rsid w:val="00401D1C"/>
    <w:pPr>
      <w:spacing w:before="180" w:after="120"/>
      <w:outlineLvl w:val="2"/>
    </w:pPr>
    <w:rPr>
      <w:spacing w:val="-10"/>
      <w:kern w:val="32"/>
    </w:rPr>
  </w:style>
  <w:style w:type="paragraph" w:styleId="Heading4">
    <w:name w:val="heading 4"/>
    <w:basedOn w:val="HeadingBase"/>
    <w:next w:val="BodyText"/>
    <w:link w:val="Heading4Char"/>
    <w:qFormat/>
    <w:rsid w:val="00401D1C"/>
    <w:pPr>
      <w:spacing w:before="160" w:after="120"/>
      <w:outlineLvl w:val="3"/>
    </w:pPr>
    <w:rPr>
      <w:sz w:val="22"/>
    </w:rPr>
  </w:style>
  <w:style w:type="paragraph" w:styleId="Heading5">
    <w:name w:val="heading 5"/>
    <w:basedOn w:val="HeadingBase"/>
    <w:next w:val="Normal"/>
    <w:link w:val="Heading5Char"/>
    <w:qFormat/>
    <w:rsid w:val="00401D1C"/>
    <w:pPr>
      <w:spacing w:before="80"/>
      <w:outlineLvl w:val="4"/>
    </w:pPr>
    <w:rPr>
      <w:color w:val="918585"/>
      <w:sz w:val="20"/>
    </w:rPr>
  </w:style>
  <w:style w:type="paragraph" w:styleId="Heading6">
    <w:name w:val="heading 6"/>
    <w:basedOn w:val="HeadingBase"/>
    <w:next w:val="Normal"/>
    <w:link w:val="Heading6Char"/>
    <w:qFormat/>
    <w:rsid w:val="00401D1C"/>
    <w:pPr>
      <w:spacing w:before="60"/>
      <w:outlineLvl w:val="5"/>
    </w:pPr>
    <w:rPr>
      <w:color w:val="918585"/>
      <w:sz w:val="20"/>
    </w:rPr>
  </w:style>
  <w:style w:type="paragraph" w:styleId="Heading7">
    <w:name w:val="heading 7"/>
    <w:basedOn w:val="Normal"/>
    <w:next w:val="Normal"/>
    <w:link w:val="Heading7Char"/>
    <w:qFormat/>
    <w:rsid w:val="00401D1C"/>
    <w:pPr>
      <w:ind w:left="720"/>
      <w:outlineLvl w:val="6"/>
    </w:pPr>
    <w:rPr>
      <w:i/>
    </w:rPr>
  </w:style>
  <w:style w:type="paragraph" w:styleId="Heading8">
    <w:name w:val="heading 8"/>
    <w:basedOn w:val="Normal"/>
    <w:next w:val="Normal"/>
    <w:link w:val="Heading8Char"/>
    <w:qFormat/>
    <w:rsid w:val="00401D1C"/>
    <w:pPr>
      <w:ind w:left="720"/>
      <w:outlineLvl w:val="7"/>
    </w:pPr>
    <w:rPr>
      <w:i/>
    </w:rPr>
  </w:style>
  <w:style w:type="paragraph" w:styleId="Heading9">
    <w:name w:val="heading 9"/>
    <w:basedOn w:val="Normal"/>
    <w:next w:val="Normal"/>
    <w:link w:val="Heading9Char"/>
    <w:qFormat/>
    <w:rsid w:val="00401D1C"/>
    <w:pPr>
      <w:ind w:left="720"/>
      <w:outlineLvl w:val="8"/>
    </w:pPr>
    <w:rPr>
      <w:i/>
    </w:rPr>
  </w:style>
  <w:style w:type="character" w:default="1" w:styleId="DefaultParagraphFont">
    <w:name w:val="Default Paragraph Font"/>
    <w:uiPriority w:val="1"/>
    <w:unhideWhenUsed/>
    <w:rsid w:val="00401D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1D1C"/>
  </w:style>
  <w:style w:type="character" w:customStyle="1" w:styleId="Heading1Char">
    <w:name w:val="Heading 1 Char"/>
    <w:basedOn w:val="DefaultParagraphFont"/>
    <w:link w:val="Heading1"/>
    <w:rsid w:val="00401D1C"/>
    <w:rPr>
      <w:rFonts w:ascii="Times New Roman" w:eastAsia="Times New Roman" w:hAnsi="Times New Roman" w:cs="Times New Roman"/>
      <w:b/>
      <w:sz w:val="32"/>
      <w:szCs w:val="20"/>
      <w:lang w:eastAsia="en-US"/>
    </w:rPr>
  </w:style>
  <w:style w:type="paragraph" w:styleId="BodyText">
    <w:name w:val="Body Text"/>
    <w:basedOn w:val="Normal"/>
    <w:link w:val="BodyTextChar"/>
    <w:rsid w:val="00401D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1D1C"/>
    <w:rPr>
      <w:rFonts w:ascii="Times New Roman" w:eastAsia="Times New Roman" w:hAnsi="Times New Roman" w:cs="Times New Roman"/>
      <w:sz w:val="24"/>
      <w:lang w:eastAsia="en-US"/>
    </w:rPr>
  </w:style>
  <w:style w:type="character" w:customStyle="1" w:styleId="SpecialBold">
    <w:name w:val="Special Bold"/>
    <w:basedOn w:val="DefaultParagraphFont"/>
    <w:rsid w:val="00401D1C"/>
    <w:rPr>
      <w:b/>
      <w:spacing w:val="0"/>
    </w:rPr>
  </w:style>
  <w:style w:type="paragraph" w:customStyle="1" w:styleId="SuperHeading">
    <w:name w:val="SuperHeading"/>
    <w:basedOn w:val="Normal"/>
    <w:rsid w:val="00401D1C"/>
    <w:pPr>
      <w:spacing w:before="240" w:after="120"/>
      <w:outlineLvl w:val="0"/>
    </w:pPr>
    <w:rPr>
      <w:rFonts w:ascii="Times New Roman" w:hAnsi="Times New Roman"/>
      <w:b/>
      <w:sz w:val="32"/>
    </w:rPr>
  </w:style>
  <w:style w:type="paragraph" w:customStyle="1" w:styleId="AllowPageBreak">
    <w:name w:val="AllowPageBreak"/>
    <w:rsid w:val="00401D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1D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1D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1D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1D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1D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1D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1D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1D1C"/>
    <w:rPr>
      <w:rFonts w:ascii="Courier New" w:eastAsia="Times New Roman" w:hAnsi="Courier New" w:cs="Times New Roman"/>
      <w:i/>
      <w:szCs w:val="20"/>
      <w:lang w:eastAsia="en-US"/>
    </w:rPr>
  </w:style>
  <w:style w:type="paragraph" w:customStyle="1" w:styleId="HeadingBase">
    <w:name w:val="Heading Base"/>
    <w:rsid w:val="00401D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1D1C"/>
    <w:pPr>
      <w:tabs>
        <w:tab w:val="right" w:leader="dot" w:pos="9072"/>
      </w:tabs>
      <w:ind w:left="567"/>
    </w:pPr>
    <w:rPr>
      <w:szCs w:val="22"/>
    </w:rPr>
  </w:style>
  <w:style w:type="paragraph" w:customStyle="1" w:styleId="TOCBase">
    <w:name w:val="TOC Base"/>
    <w:rsid w:val="00401D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1D1C"/>
    <w:pPr>
      <w:tabs>
        <w:tab w:val="right" w:leader="dot" w:pos="9072"/>
      </w:tabs>
      <w:spacing w:before="40" w:after="40"/>
      <w:ind w:left="284"/>
    </w:pPr>
    <w:rPr>
      <w:rFonts w:ascii="Times New Roman" w:hAnsi="Times New Roman"/>
    </w:rPr>
  </w:style>
  <w:style w:type="paragraph" w:styleId="TOC1">
    <w:name w:val="toc 1"/>
    <w:basedOn w:val="TOCBase"/>
    <w:next w:val="Normal"/>
    <w:rsid w:val="00401D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1D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1D1C"/>
    <w:rPr>
      <w:rFonts w:ascii="Times New Roman" w:eastAsia="Times New Roman" w:hAnsi="Times New Roman" w:cs="Times New Roman"/>
      <w:sz w:val="16"/>
      <w:lang w:eastAsia="en-US"/>
    </w:rPr>
  </w:style>
  <w:style w:type="paragraph" w:styleId="Title">
    <w:name w:val="Title"/>
    <w:basedOn w:val="HeadingBase"/>
    <w:link w:val="TitleChar"/>
    <w:qFormat/>
    <w:rsid w:val="00401D1C"/>
    <w:pPr>
      <w:spacing w:before="5040"/>
      <w:jc w:val="center"/>
    </w:pPr>
    <w:rPr>
      <w:sz w:val="48"/>
      <w:szCs w:val="72"/>
      <w:lang w:val="en-US"/>
    </w:rPr>
  </w:style>
  <w:style w:type="character" w:customStyle="1" w:styleId="TitleChar">
    <w:name w:val="Title Char"/>
    <w:basedOn w:val="DefaultParagraphFont"/>
    <w:link w:val="Title"/>
    <w:rsid w:val="00401D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1D1C"/>
    <w:pPr>
      <w:tabs>
        <w:tab w:val="left" w:pos="3600"/>
        <w:tab w:val="left" w:pos="3958"/>
      </w:tabs>
    </w:pPr>
  </w:style>
  <w:style w:type="paragraph" w:styleId="List">
    <w:name w:val="List"/>
    <w:basedOn w:val="BodyText"/>
    <w:next w:val="BodyText"/>
    <w:rsid w:val="00401D1C"/>
    <w:pPr>
      <w:tabs>
        <w:tab w:val="left" w:pos="340"/>
      </w:tabs>
      <w:spacing w:before="60" w:after="60"/>
      <w:ind w:left="340" w:hanging="340"/>
    </w:pPr>
  </w:style>
  <w:style w:type="paragraph" w:styleId="ListBullet">
    <w:name w:val="List Bullet"/>
    <w:basedOn w:val="List"/>
    <w:rsid w:val="00401D1C"/>
    <w:pPr>
      <w:numPr>
        <w:numId w:val="11"/>
      </w:numPr>
      <w:tabs>
        <w:tab w:val="clear" w:pos="340"/>
      </w:tabs>
      <w:spacing w:before="40" w:after="40"/>
    </w:pPr>
  </w:style>
  <w:style w:type="paragraph" w:customStyle="1" w:styleId="Note">
    <w:name w:val="Note"/>
    <w:basedOn w:val="BodyText"/>
    <w:rsid w:val="00401D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1D1C"/>
    <w:pPr>
      <w:framePr w:wrap="auto" w:hAnchor="text" w:y="6049"/>
    </w:pPr>
    <w:rPr>
      <w:color w:val="000000"/>
      <w:sz w:val="40"/>
    </w:rPr>
  </w:style>
  <w:style w:type="paragraph" w:customStyle="1" w:styleId="TOCTitle">
    <w:name w:val="TOCTitle"/>
    <w:basedOn w:val="Heading1"/>
    <w:rsid w:val="00401D1C"/>
    <w:pPr>
      <w:spacing w:after="240"/>
      <w:jc w:val="center"/>
      <w:outlineLvl w:val="9"/>
    </w:pPr>
    <w:rPr>
      <w:caps/>
    </w:rPr>
  </w:style>
  <w:style w:type="paragraph" w:customStyle="1" w:styleId="Version">
    <w:name w:val="Version"/>
    <w:rsid w:val="00401D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1D1C"/>
    <w:pPr>
      <w:numPr>
        <w:numId w:val="12"/>
      </w:numPr>
      <w:tabs>
        <w:tab w:val="clear" w:pos="680"/>
      </w:tabs>
    </w:pPr>
  </w:style>
  <w:style w:type="paragraph" w:styleId="Index1">
    <w:name w:val="index 1"/>
    <w:basedOn w:val="Normal"/>
    <w:next w:val="Normal"/>
    <w:semiHidden/>
    <w:rsid w:val="00401D1C"/>
    <w:pPr>
      <w:keepNext w:val="0"/>
      <w:tabs>
        <w:tab w:val="right" w:pos="4176"/>
      </w:tabs>
      <w:ind w:left="198" w:hanging="198"/>
    </w:pPr>
    <w:rPr>
      <w:rFonts w:ascii="Garamond" w:hAnsi="Garamond"/>
    </w:rPr>
  </w:style>
  <w:style w:type="paragraph" w:styleId="IndexHeading">
    <w:name w:val="index heading"/>
    <w:basedOn w:val="Normal"/>
    <w:next w:val="Index1"/>
    <w:semiHidden/>
    <w:rsid w:val="00401D1C"/>
    <w:pPr>
      <w:spacing w:before="120" w:after="120"/>
    </w:pPr>
    <w:rPr>
      <w:rFonts w:ascii="Arial" w:hAnsi="Arial"/>
      <w:b/>
      <w:color w:val="918585"/>
      <w:sz w:val="24"/>
    </w:rPr>
  </w:style>
  <w:style w:type="paragraph" w:styleId="Header">
    <w:name w:val="header"/>
    <w:basedOn w:val="Normal"/>
    <w:link w:val="HeaderChar"/>
    <w:rsid w:val="00401D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1D1C"/>
    <w:rPr>
      <w:rFonts w:ascii="Times New Roman" w:eastAsia="Times New Roman" w:hAnsi="Times New Roman" w:cs="Times New Roman"/>
      <w:sz w:val="16"/>
      <w:szCs w:val="20"/>
      <w:lang w:val="en-GB" w:eastAsia="en-US"/>
    </w:rPr>
  </w:style>
  <w:style w:type="paragraph" w:customStyle="1" w:styleId="Chapter">
    <w:name w:val="Chapter"/>
    <w:basedOn w:val="Normal"/>
    <w:rsid w:val="00401D1C"/>
    <w:pPr>
      <w:spacing w:before="240"/>
    </w:pPr>
    <w:rPr>
      <w:rFonts w:ascii="Times New Roman" w:hAnsi="Times New Roman"/>
      <w:smallCaps/>
      <w:spacing w:val="80"/>
      <w:sz w:val="28"/>
    </w:rPr>
  </w:style>
  <w:style w:type="paragraph" w:customStyle="1" w:styleId="InChapter">
    <w:name w:val="InChapter"/>
    <w:basedOn w:val="Heading3"/>
    <w:rsid w:val="00401D1C"/>
    <w:pPr>
      <w:spacing w:after="240"/>
      <w:outlineLvl w:val="9"/>
    </w:pPr>
    <w:rPr>
      <w:noProof/>
    </w:rPr>
  </w:style>
  <w:style w:type="paragraph" w:styleId="Index2">
    <w:name w:val="index 2"/>
    <w:basedOn w:val="Normal"/>
    <w:next w:val="Normal"/>
    <w:semiHidden/>
    <w:rsid w:val="00401D1C"/>
    <w:pPr>
      <w:tabs>
        <w:tab w:val="right" w:pos="4176"/>
      </w:tabs>
      <w:ind w:left="568" w:hanging="284"/>
    </w:pPr>
    <w:rPr>
      <w:rFonts w:ascii="Garamond" w:hAnsi="Garamond"/>
    </w:rPr>
  </w:style>
  <w:style w:type="paragraph" w:customStyle="1" w:styleId="Byline">
    <w:name w:val="Byline"/>
    <w:rsid w:val="00401D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1D1C"/>
    <w:pPr>
      <w:tabs>
        <w:tab w:val="clear" w:pos="3600"/>
        <w:tab w:val="clear" w:pos="3958"/>
      </w:tabs>
      <w:jc w:val="right"/>
    </w:pPr>
  </w:style>
  <w:style w:type="character" w:styleId="Emphasis">
    <w:name w:val="Emphasis"/>
    <w:basedOn w:val="DefaultParagraphFont"/>
    <w:qFormat/>
    <w:rsid w:val="00401D1C"/>
    <w:rPr>
      <w:i/>
    </w:rPr>
  </w:style>
  <w:style w:type="paragraph" w:styleId="Caption">
    <w:name w:val="caption"/>
    <w:basedOn w:val="BodyText"/>
    <w:next w:val="Normal"/>
    <w:qFormat/>
    <w:rsid w:val="00401D1C"/>
    <w:pPr>
      <w:framePr w:w="2268" w:hSpace="181" w:vSpace="181" w:wrap="around" w:vAnchor="text" w:hAnchor="page" w:x="1135" w:y="285" w:anchorLock="1"/>
    </w:pPr>
    <w:rPr>
      <w:i/>
    </w:rPr>
  </w:style>
  <w:style w:type="paragraph" w:customStyle="1" w:styleId="MiniTOCTitle">
    <w:name w:val="MiniTOCTitle"/>
    <w:basedOn w:val="Heading4"/>
    <w:rsid w:val="00401D1C"/>
    <w:pPr>
      <w:spacing w:before="240"/>
      <w:outlineLvl w:val="9"/>
    </w:pPr>
    <w:rPr>
      <w:noProof/>
      <w:sz w:val="24"/>
    </w:rPr>
  </w:style>
  <w:style w:type="paragraph" w:customStyle="1" w:styleId="MiniTOCItem">
    <w:name w:val="MiniTOCItem"/>
    <w:basedOn w:val="ListBullet"/>
    <w:rsid w:val="00401D1C"/>
    <w:pPr>
      <w:numPr>
        <w:numId w:val="0"/>
      </w:numPr>
      <w:tabs>
        <w:tab w:val="right" w:leader="dot" w:pos="6521"/>
      </w:tabs>
      <w:spacing w:before="0" w:after="0"/>
    </w:pPr>
  </w:style>
  <w:style w:type="paragraph" w:customStyle="1" w:styleId="TOFTitle">
    <w:name w:val="TOFTitle"/>
    <w:basedOn w:val="TOCTitle"/>
    <w:rsid w:val="00401D1C"/>
  </w:style>
  <w:style w:type="paragraph" w:styleId="TableofFigures">
    <w:name w:val="table of figures"/>
    <w:basedOn w:val="Normal"/>
    <w:next w:val="Normal"/>
    <w:semiHidden/>
    <w:rsid w:val="00401D1C"/>
    <w:pPr>
      <w:tabs>
        <w:tab w:val="right" w:leader="dot" w:pos="9072"/>
      </w:tabs>
      <w:ind w:left="970" w:hanging="403"/>
    </w:pPr>
    <w:rPr>
      <w:rFonts w:ascii="Times New Roman" w:hAnsi="Times New Roman"/>
      <w:b/>
    </w:rPr>
  </w:style>
  <w:style w:type="paragraph" w:styleId="ListNumber">
    <w:name w:val="List Number"/>
    <w:basedOn w:val="List"/>
    <w:rsid w:val="00401D1C"/>
    <w:pPr>
      <w:numPr>
        <w:numId w:val="9"/>
      </w:numPr>
    </w:pPr>
  </w:style>
  <w:style w:type="character" w:customStyle="1" w:styleId="WingdingSymbols">
    <w:name w:val="Wingding Symbols"/>
    <w:rsid w:val="00401D1C"/>
    <w:rPr>
      <w:rFonts w:ascii="Wingdings" w:hAnsi="Wingdings"/>
    </w:rPr>
  </w:style>
  <w:style w:type="paragraph" w:customStyle="1" w:styleId="TableHeading">
    <w:name w:val="Table Heading"/>
    <w:basedOn w:val="HeadingBase"/>
    <w:rsid w:val="00401D1C"/>
    <w:pPr>
      <w:keepLines/>
      <w:pBdr>
        <w:bottom w:val="single" w:sz="6" w:space="1" w:color="918585"/>
      </w:pBdr>
      <w:spacing w:before="240"/>
    </w:pPr>
  </w:style>
  <w:style w:type="character" w:customStyle="1" w:styleId="HotSpot">
    <w:name w:val="HotSpot"/>
    <w:rsid w:val="00401D1C"/>
    <w:rPr>
      <w:color w:val="0033CC"/>
      <w:u w:val="none"/>
    </w:rPr>
  </w:style>
  <w:style w:type="paragraph" w:customStyle="1" w:styleId="BodyTextRight">
    <w:name w:val="Body Text Right"/>
    <w:basedOn w:val="BodyText"/>
    <w:rsid w:val="00401D1C"/>
    <w:pPr>
      <w:spacing w:before="0" w:after="0"/>
      <w:jc w:val="right"/>
    </w:pPr>
  </w:style>
  <w:style w:type="paragraph" w:styleId="Index3">
    <w:name w:val="index 3"/>
    <w:basedOn w:val="ListNumber2"/>
    <w:next w:val="Normal"/>
    <w:semiHidden/>
    <w:rsid w:val="00401D1C"/>
    <w:pPr>
      <w:numPr>
        <w:numId w:val="0"/>
      </w:numPr>
      <w:tabs>
        <w:tab w:val="right" w:leader="dot" w:pos="4176"/>
      </w:tabs>
    </w:pPr>
  </w:style>
  <w:style w:type="paragraph" w:styleId="ListNumber2">
    <w:name w:val="List Number 2"/>
    <w:basedOn w:val="List2"/>
    <w:rsid w:val="00401D1C"/>
    <w:pPr>
      <w:numPr>
        <w:numId w:val="8"/>
      </w:numPr>
      <w:tabs>
        <w:tab w:val="clear" w:pos="1060"/>
      </w:tabs>
    </w:pPr>
  </w:style>
  <w:style w:type="paragraph" w:customStyle="1" w:styleId="MarginNote">
    <w:name w:val="Margin Note"/>
    <w:basedOn w:val="BodyText"/>
    <w:rsid w:val="00401D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1D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1D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1D1C"/>
    <w:rPr>
      <w:sz w:val="32"/>
    </w:rPr>
  </w:style>
  <w:style w:type="paragraph" w:customStyle="1" w:styleId="HeadingProcedure">
    <w:name w:val="Heading Procedure"/>
    <w:basedOn w:val="HeadingBase"/>
    <w:next w:val="Normal"/>
    <w:rsid w:val="00401D1C"/>
    <w:pPr>
      <w:tabs>
        <w:tab w:val="left" w:pos="0"/>
      </w:tabs>
      <w:spacing w:before="120" w:after="60"/>
    </w:pPr>
    <w:rPr>
      <w:i/>
      <w:color w:val="918585"/>
      <w:sz w:val="22"/>
    </w:rPr>
  </w:style>
  <w:style w:type="paragraph" w:customStyle="1" w:styleId="TableBodyText">
    <w:name w:val="Table Body Text"/>
    <w:basedOn w:val="BodyText"/>
    <w:rsid w:val="00401D1C"/>
    <w:pPr>
      <w:spacing w:before="60" w:after="60"/>
    </w:pPr>
  </w:style>
  <w:style w:type="paragraph" w:styleId="ListContinue">
    <w:name w:val="List Continue"/>
    <w:basedOn w:val="List"/>
    <w:rsid w:val="00401D1C"/>
    <w:pPr>
      <w:ind w:firstLine="0"/>
    </w:pPr>
  </w:style>
  <w:style w:type="paragraph" w:customStyle="1" w:styleId="ListNote">
    <w:name w:val="List Note"/>
    <w:basedOn w:val="List"/>
    <w:rsid w:val="00401D1C"/>
    <w:pPr>
      <w:pBdr>
        <w:top w:val="single" w:sz="6" w:space="2" w:color="918585"/>
        <w:bottom w:val="single" w:sz="6" w:space="2" w:color="918585"/>
      </w:pBdr>
      <w:tabs>
        <w:tab w:val="left" w:pos="1021"/>
      </w:tabs>
      <w:ind w:firstLine="0"/>
    </w:pPr>
  </w:style>
  <w:style w:type="paragraph" w:customStyle="1" w:styleId="Warning">
    <w:name w:val="Warning"/>
    <w:basedOn w:val="BodyText"/>
    <w:rsid w:val="00401D1C"/>
    <w:pPr>
      <w:shd w:val="clear" w:color="auto" w:fill="D9D9D9"/>
      <w:tabs>
        <w:tab w:val="left" w:pos="992"/>
      </w:tabs>
      <w:ind w:left="119" w:right="119"/>
    </w:pPr>
    <w:rPr>
      <w:sz w:val="20"/>
    </w:rPr>
  </w:style>
  <w:style w:type="paragraph" w:customStyle="1" w:styleId="MarginIcons">
    <w:name w:val="Margin Icons"/>
    <w:basedOn w:val="BodyText"/>
    <w:rsid w:val="00401D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1D1C"/>
    <w:rPr>
      <w:rFonts w:ascii="Courier New" w:hAnsi="Courier New"/>
    </w:rPr>
  </w:style>
  <w:style w:type="paragraph" w:customStyle="1" w:styleId="NoteBullet">
    <w:name w:val="Note Bullet"/>
    <w:basedOn w:val="Note"/>
    <w:rsid w:val="00401D1C"/>
    <w:pPr>
      <w:tabs>
        <w:tab w:val="clear" w:pos="680"/>
      </w:tabs>
      <w:spacing w:before="60" w:after="60"/>
    </w:pPr>
  </w:style>
  <w:style w:type="paragraph" w:customStyle="1" w:styleId="SubHeading2">
    <w:name w:val="SubHeading2"/>
    <w:basedOn w:val="HeadingBase"/>
    <w:rsid w:val="00401D1C"/>
    <w:pPr>
      <w:spacing w:before="240" w:after="60"/>
    </w:pPr>
    <w:rPr>
      <w:sz w:val="20"/>
    </w:rPr>
  </w:style>
  <w:style w:type="paragraph" w:customStyle="1" w:styleId="SubHeading1">
    <w:name w:val="SubHeading1"/>
    <w:basedOn w:val="HeadingBase"/>
    <w:rsid w:val="00401D1C"/>
    <w:pPr>
      <w:spacing w:before="240" w:after="60"/>
    </w:pPr>
    <w:rPr>
      <w:color w:val="918585"/>
      <w:sz w:val="22"/>
    </w:rPr>
  </w:style>
  <w:style w:type="paragraph" w:customStyle="1" w:styleId="SideHeading">
    <w:name w:val="Side Heading"/>
    <w:basedOn w:val="HeadingBase"/>
    <w:rsid w:val="00401D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1D1C"/>
    <w:pPr>
      <w:numPr>
        <w:numId w:val="10"/>
      </w:numPr>
    </w:pPr>
  </w:style>
  <w:style w:type="paragraph" w:styleId="PlainText">
    <w:name w:val="Plain Text"/>
    <w:basedOn w:val="Normal"/>
    <w:link w:val="PlainTextChar"/>
    <w:rsid w:val="00401D1C"/>
    <w:rPr>
      <w:sz w:val="20"/>
    </w:rPr>
  </w:style>
  <w:style w:type="character" w:customStyle="1" w:styleId="PlainTextChar">
    <w:name w:val="Plain Text Char"/>
    <w:basedOn w:val="DefaultParagraphFont"/>
    <w:link w:val="PlainText"/>
    <w:rsid w:val="00401D1C"/>
    <w:rPr>
      <w:rFonts w:ascii="Courier New" w:eastAsia="Times New Roman" w:hAnsi="Courier New" w:cs="Times New Roman"/>
      <w:sz w:val="20"/>
      <w:szCs w:val="20"/>
      <w:lang w:eastAsia="en-US"/>
    </w:rPr>
  </w:style>
  <w:style w:type="character" w:customStyle="1" w:styleId="MenuOption">
    <w:name w:val="Menu Option"/>
    <w:basedOn w:val="DefaultParagraphFont"/>
    <w:rsid w:val="00401D1C"/>
    <w:rPr>
      <w:b/>
      <w:smallCaps/>
    </w:rPr>
  </w:style>
  <w:style w:type="paragraph" w:customStyle="1" w:styleId="TableListNumber">
    <w:name w:val="Table List Number"/>
    <w:basedOn w:val="ListNumber"/>
    <w:rsid w:val="00401D1C"/>
    <w:pPr>
      <w:numPr>
        <w:numId w:val="0"/>
      </w:numPr>
    </w:pPr>
  </w:style>
  <w:style w:type="paragraph" w:styleId="TOC4">
    <w:name w:val="toc 4"/>
    <w:basedOn w:val="TOCBase"/>
    <w:next w:val="Normal"/>
    <w:semiHidden/>
    <w:rsid w:val="00401D1C"/>
    <w:pPr>
      <w:tabs>
        <w:tab w:val="right" w:leader="dot" w:pos="9071"/>
      </w:tabs>
      <w:ind w:left="1701"/>
    </w:pPr>
  </w:style>
  <w:style w:type="paragraph" w:customStyle="1" w:styleId="ListAlpha">
    <w:name w:val="List Alpha"/>
    <w:basedOn w:val="List"/>
    <w:rsid w:val="00401D1C"/>
    <w:pPr>
      <w:numPr>
        <w:numId w:val="7"/>
      </w:numPr>
    </w:pPr>
  </w:style>
  <w:style w:type="paragraph" w:customStyle="1" w:styleId="ListAlpha2">
    <w:name w:val="List Alpha 2"/>
    <w:basedOn w:val="List2"/>
    <w:rsid w:val="00401D1C"/>
    <w:pPr>
      <w:numPr>
        <w:numId w:val="6"/>
      </w:numPr>
    </w:pPr>
  </w:style>
  <w:style w:type="paragraph" w:styleId="List2">
    <w:name w:val="List 2"/>
    <w:basedOn w:val="BodyText"/>
    <w:rsid w:val="00401D1C"/>
    <w:pPr>
      <w:tabs>
        <w:tab w:val="left" w:pos="680"/>
      </w:tabs>
      <w:spacing w:before="60" w:after="60"/>
      <w:ind w:left="680" w:hanging="340"/>
    </w:pPr>
  </w:style>
  <w:style w:type="paragraph" w:styleId="List3">
    <w:name w:val="List 3"/>
    <w:basedOn w:val="BodyText"/>
    <w:rsid w:val="00401D1C"/>
    <w:pPr>
      <w:tabs>
        <w:tab w:val="left" w:pos="1021"/>
      </w:tabs>
      <w:spacing w:before="60" w:after="60"/>
      <w:ind w:left="1020" w:hanging="340"/>
    </w:pPr>
  </w:style>
  <w:style w:type="paragraph" w:styleId="List4">
    <w:name w:val="List 4"/>
    <w:basedOn w:val="BodyText"/>
    <w:rsid w:val="00401D1C"/>
    <w:pPr>
      <w:tabs>
        <w:tab w:val="left" w:pos="1361"/>
      </w:tabs>
      <w:spacing w:before="60" w:after="60"/>
      <w:ind w:left="1361" w:hanging="340"/>
    </w:pPr>
  </w:style>
  <w:style w:type="paragraph" w:styleId="List5">
    <w:name w:val="List 5"/>
    <w:basedOn w:val="BodyText"/>
    <w:rsid w:val="00401D1C"/>
    <w:pPr>
      <w:tabs>
        <w:tab w:val="left" w:pos="1701"/>
      </w:tabs>
      <w:spacing w:before="60" w:after="60"/>
      <w:ind w:left="1701" w:hanging="340"/>
    </w:pPr>
  </w:style>
  <w:style w:type="paragraph" w:styleId="ListBullet3">
    <w:name w:val="List Bullet 3"/>
    <w:basedOn w:val="List3"/>
    <w:rsid w:val="00401D1C"/>
    <w:pPr>
      <w:numPr>
        <w:numId w:val="13"/>
      </w:numPr>
      <w:tabs>
        <w:tab w:val="clear" w:pos="1021"/>
      </w:tabs>
      <w:ind w:left="1037" w:hanging="357"/>
    </w:pPr>
  </w:style>
  <w:style w:type="paragraph" w:styleId="ListBullet4">
    <w:name w:val="List Bullet 4"/>
    <w:basedOn w:val="List4"/>
    <w:rsid w:val="00401D1C"/>
    <w:pPr>
      <w:numPr>
        <w:numId w:val="1"/>
      </w:numPr>
      <w:tabs>
        <w:tab w:val="clear" w:pos="1361"/>
      </w:tabs>
    </w:pPr>
  </w:style>
  <w:style w:type="paragraph" w:styleId="ListBullet5">
    <w:name w:val="List Bullet 5"/>
    <w:basedOn w:val="List5"/>
    <w:rsid w:val="00401D1C"/>
    <w:pPr>
      <w:numPr>
        <w:numId w:val="2"/>
      </w:numPr>
    </w:pPr>
  </w:style>
  <w:style w:type="paragraph" w:styleId="ListContinue2">
    <w:name w:val="List Continue 2"/>
    <w:basedOn w:val="List2"/>
    <w:rsid w:val="00401D1C"/>
    <w:pPr>
      <w:ind w:firstLine="0"/>
    </w:pPr>
  </w:style>
  <w:style w:type="paragraph" w:styleId="ListContinue3">
    <w:name w:val="List Continue 3"/>
    <w:basedOn w:val="List3"/>
    <w:rsid w:val="00401D1C"/>
    <w:pPr>
      <w:ind w:left="1021" w:firstLine="0"/>
    </w:pPr>
  </w:style>
  <w:style w:type="paragraph" w:styleId="ListContinue4">
    <w:name w:val="List Continue 4"/>
    <w:basedOn w:val="List4"/>
    <w:rsid w:val="00401D1C"/>
    <w:pPr>
      <w:ind w:firstLine="0"/>
    </w:pPr>
  </w:style>
  <w:style w:type="paragraph" w:styleId="ListContinue5">
    <w:name w:val="List Continue 5"/>
    <w:basedOn w:val="List5"/>
    <w:rsid w:val="00401D1C"/>
    <w:pPr>
      <w:ind w:firstLine="0"/>
    </w:pPr>
  </w:style>
  <w:style w:type="paragraph" w:styleId="ListNumber3">
    <w:name w:val="List Number 3"/>
    <w:basedOn w:val="List3"/>
    <w:rsid w:val="00401D1C"/>
    <w:pPr>
      <w:numPr>
        <w:numId w:val="3"/>
      </w:numPr>
    </w:pPr>
  </w:style>
  <w:style w:type="paragraph" w:styleId="ListNumber4">
    <w:name w:val="List Number 4"/>
    <w:basedOn w:val="List4"/>
    <w:rsid w:val="00401D1C"/>
    <w:pPr>
      <w:numPr>
        <w:numId w:val="4"/>
      </w:numPr>
    </w:pPr>
  </w:style>
  <w:style w:type="paragraph" w:styleId="ListNumber5">
    <w:name w:val="List Number 5"/>
    <w:basedOn w:val="List5"/>
    <w:rsid w:val="00401D1C"/>
    <w:pPr>
      <w:numPr>
        <w:numId w:val="5"/>
      </w:numPr>
    </w:pPr>
  </w:style>
  <w:style w:type="paragraph" w:styleId="BlockText">
    <w:name w:val="Block Text"/>
    <w:basedOn w:val="Normal"/>
    <w:rsid w:val="00401D1C"/>
    <w:pPr>
      <w:spacing w:after="120"/>
      <w:ind w:left="1440" w:right="1440"/>
    </w:pPr>
  </w:style>
  <w:style w:type="character" w:customStyle="1" w:styleId="Subscript">
    <w:name w:val="Subscript"/>
    <w:basedOn w:val="DefaultParagraphFont"/>
    <w:rsid w:val="00401D1C"/>
    <w:rPr>
      <w:sz w:val="16"/>
      <w:vertAlign w:val="subscript"/>
    </w:rPr>
  </w:style>
  <w:style w:type="character" w:customStyle="1" w:styleId="Superscript">
    <w:name w:val="Superscript"/>
    <w:basedOn w:val="DefaultParagraphFont"/>
    <w:rsid w:val="00401D1C"/>
    <w:rPr>
      <w:sz w:val="16"/>
      <w:vertAlign w:val="superscript"/>
    </w:rPr>
  </w:style>
  <w:style w:type="character" w:customStyle="1" w:styleId="Symbols">
    <w:name w:val="Symbols"/>
    <w:basedOn w:val="DefaultParagraphFont"/>
    <w:rsid w:val="00401D1C"/>
    <w:rPr>
      <w:rFonts w:ascii="Symbol" w:hAnsi="Symbol"/>
    </w:rPr>
  </w:style>
  <w:style w:type="character" w:customStyle="1" w:styleId="MenuOptions">
    <w:name w:val="Menu Options"/>
    <w:basedOn w:val="DefaultParagraphFont"/>
    <w:rsid w:val="00401D1C"/>
    <w:rPr>
      <w:rFonts w:ascii="Arial Narrow" w:hAnsi="Arial Narrow"/>
      <w:smallCaps/>
    </w:rPr>
  </w:style>
  <w:style w:type="character" w:customStyle="1" w:styleId="Buttons">
    <w:name w:val="Buttons"/>
    <w:basedOn w:val="DefaultParagraphFont"/>
    <w:rsid w:val="00401D1C"/>
    <w:rPr>
      <w:b/>
    </w:rPr>
  </w:style>
  <w:style w:type="character" w:customStyle="1" w:styleId="Underlined">
    <w:name w:val="Underlined"/>
    <w:basedOn w:val="DefaultParagraphFont"/>
    <w:rsid w:val="00401D1C"/>
    <w:rPr>
      <w:u w:val="single"/>
    </w:rPr>
  </w:style>
  <w:style w:type="paragraph" w:customStyle="1" w:styleId="TableBodyTextRight">
    <w:name w:val="Table Body Text Right"/>
    <w:basedOn w:val="TableBodyText"/>
    <w:rsid w:val="00401D1C"/>
    <w:pPr>
      <w:widowControl w:val="0"/>
      <w:autoSpaceDE w:val="0"/>
      <w:autoSpaceDN w:val="0"/>
      <w:adjustRightInd w:val="0"/>
      <w:jc w:val="right"/>
    </w:pPr>
    <w:rPr>
      <w:rFonts w:cs="Arial"/>
      <w:szCs w:val="18"/>
    </w:rPr>
  </w:style>
  <w:style w:type="paragraph" w:customStyle="1" w:styleId="CopyrightText">
    <w:name w:val="Copyright Text"/>
    <w:basedOn w:val="BodyText"/>
    <w:rsid w:val="00401D1C"/>
    <w:rPr>
      <w:sz w:val="18"/>
    </w:rPr>
  </w:style>
  <w:style w:type="paragraph" w:customStyle="1" w:styleId="BodySmallRight">
    <w:name w:val="Body Small Right"/>
    <w:basedOn w:val="BodyTextRight"/>
    <w:rsid w:val="00401D1C"/>
    <w:rPr>
      <w:sz w:val="18"/>
      <w:szCs w:val="18"/>
    </w:rPr>
  </w:style>
  <w:style w:type="paragraph" w:customStyle="1" w:styleId="MarginEdition">
    <w:name w:val="Margin Edition"/>
    <w:basedOn w:val="MarginNote"/>
    <w:rsid w:val="00401D1C"/>
    <w:pPr>
      <w:spacing w:before="0" w:after="0"/>
    </w:pPr>
    <w:rPr>
      <w:rFonts w:ascii="Times New Roman" w:hAnsi="Times New Roman"/>
      <w:color w:val="999999"/>
    </w:rPr>
  </w:style>
  <w:style w:type="paragraph" w:customStyle="1" w:styleId="Spacer">
    <w:name w:val="Spacer"/>
    <w:basedOn w:val="Normal"/>
    <w:rsid w:val="00401D1C"/>
    <w:rPr>
      <w:sz w:val="2"/>
      <w:szCs w:val="2"/>
    </w:rPr>
  </w:style>
  <w:style w:type="character" w:customStyle="1" w:styleId="Small">
    <w:name w:val="Small"/>
    <w:basedOn w:val="DefaultParagraphFont"/>
    <w:rsid w:val="00401D1C"/>
    <w:rPr>
      <w:sz w:val="16"/>
    </w:rPr>
  </w:style>
  <w:style w:type="paragraph" w:customStyle="1" w:styleId="WideTable">
    <w:name w:val="Wide Table"/>
    <w:basedOn w:val="Normal"/>
    <w:rsid w:val="00401D1C"/>
    <w:pPr>
      <w:ind w:left="-1418"/>
    </w:pPr>
    <w:rPr>
      <w:sz w:val="2"/>
      <w:szCs w:val="2"/>
    </w:rPr>
  </w:style>
  <w:style w:type="character" w:styleId="PageNumber">
    <w:name w:val="page number"/>
    <w:basedOn w:val="DefaultParagraphFont"/>
    <w:rsid w:val="00401D1C"/>
  </w:style>
  <w:style w:type="paragraph" w:styleId="Quote">
    <w:name w:val="Quote"/>
    <w:basedOn w:val="Heading1"/>
    <w:link w:val="QuoteChar"/>
    <w:qFormat/>
    <w:rsid w:val="00401D1C"/>
    <w:rPr>
      <w:b w:val="0"/>
      <w:sz w:val="72"/>
      <w:szCs w:val="72"/>
      <w:lang w:val="en-NZ"/>
    </w:rPr>
  </w:style>
  <w:style w:type="character" w:customStyle="1" w:styleId="QuoteChar">
    <w:name w:val="Quote Char"/>
    <w:basedOn w:val="DefaultParagraphFont"/>
    <w:link w:val="Quote"/>
    <w:rsid w:val="00401D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1D1C"/>
    <w:pPr>
      <w:pageBreakBefore/>
    </w:pPr>
  </w:style>
  <w:style w:type="paragraph" w:customStyle="1" w:styleId="Border">
    <w:name w:val="Border"/>
    <w:basedOn w:val="Normal"/>
    <w:qFormat/>
    <w:rsid w:val="00401D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1D1C"/>
    <w:rPr>
      <w:b/>
      <w:bCs/>
      <w:i/>
      <w:iCs/>
      <w:color w:val="auto"/>
    </w:rPr>
  </w:style>
  <w:style w:type="paragraph" w:styleId="IntenseQuote">
    <w:name w:val="Intense Quote"/>
    <w:basedOn w:val="Normal"/>
    <w:next w:val="Normal"/>
    <w:link w:val="IntenseQuoteChar"/>
    <w:uiPriority w:val="30"/>
    <w:qFormat/>
    <w:rsid w:val="00401D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1D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1D1C"/>
    <w:rPr>
      <w:smallCaps/>
      <w:color w:val="auto"/>
      <w:u w:val="single"/>
    </w:rPr>
  </w:style>
  <w:style w:type="character" w:styleId="IntenseReference">
    <w:name w:val="Intense Reference"/>
    <w:basedOn w:val="DefaultParagraphFont"/>
    <w:uiPriority w:val="32"/>
    <w:qFormat/>
    <w:rsid w:val="00401D1C"/>
    <w:rPr>
      <w:b/>
      <w:bCs/>
      <w:smallCaps/>
      <w:color w:val="auto"/>
      <w:spacing w:val="5"/>
      <w:u w:val="single"/>
    </w:rPr>
  </w:style>
  <w:style w:type="paragraph" w:customStyle="1" w:styleId="2ColumnHeading">
    <w:name w:val="2Column Heading"/>
    <w:basedOn w:val="BodyText"/>
    <w:qFormat/>
    <w:rsid w:val="00401D1C"/>
    <w:pPr>
      <w:spacing w:after="60"/>
      <w:ind w:left="-2268"/>
    </w:pPr>
    <w:rPr>
      <w:b/>
    </w:rPr>
  </w:style>
  <w:style w:type="paragraph" w:customStyle="1" w:styleId="Heading1TOC">
    <w:name w:val="Heading1 TOC"/>
    <w:basedOn w:val="Normal"/>
    <w:qFormat/>
    <w:rsid w:val="00401D1C"/>
    <w:pPr>
      <w:spacing w:before="240" w:after="120"/>
    </w:pPr>
    <w:rPr>
      <w:rFonts w:ascii="Times New Roman" w:hAnsi="Times New Roman"/>
      <w:b/>
      <w:sz w:val="32"/>
    </w:rPr>
  </w:style>
  <w:style w:type="paragraph" w:customStyle="1" w:styleId="Heading2TOC">
    <w:name w:val="Heading2 TOC"/>
    <w:basedOn w:val="Normal"/>
    <w:qFormat/>
    <w:rsid w:val="00401D1C"/>
    <w:pPr>
      <w:spacing w:before="240" w:after="60"/>
    </w:pPr>
    <w:rPr>
      <w:rFonts w:ascii="Times New Roman" w:hAnsi="Times New Roman"/>
      <w:b/>
      <w:sz w:val="28"/>
    </w:rPr>
  </w:style>
  <w:style w:type="character" w:customStyle="1" w:styleId="Underline">
    <w:name w:val="Underline"/>
    <w:basedOn w:val="DefaultParagraphFont"/>
    <w:qFormat/>
    <w:rsid w:val="00401D1C"/>
    <w:rPr>
      <w:u w:val="single"/>
    </w:rPr>
  </w:style>
  <w:style w:type="character" w:customStyle="1" w:styleId="BoldandItalics">
    <w:name w:val="Bold and Italics"/>
    <w:qFormat/>
    <w:rsid w:val="00401D1C"/>
    <w:rPr>
      <w:b/>
      <w:i/>
      <w:u w:val="none"/>
    </w:rPr>
  </w:style>
  <w:style w:type="paragraph" w:styleId="BalloonText">
    <w:name w:val="Balloon Text"/>
    <w:basedOn w:val="Normal"/>
    <w:link w:val="BalloonTextChar"/>
    <w:rsid w:val="00401D1C"/>
    <w:rPr>
      <w:rFonts w:ascii="Tahoma" w:hAnsi="Tahoma" w:cs="Tahoma"/>
      <w:sz w:val="16"/>
      <w:szCs w:val="16"/>
    </w:rPr>
  </w:style>
  <w:style w:type="character" w:customStyle="1" w:styleId="BalloonTextChar">
    <w:name w:val="Balloon Text Char"/>
    <w:basedOn w:val="DefaultParagraphFont"/>
    <w:link w:val="BalloonText"/>
    <w:rsid w:val="00401D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1D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1D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1D1C"/>
    <w:rPr>
      <w:b/>
      <w:color w:val="660033"/>
      <w:spacing w:val="0"/>
    </w:rPr>
  </w:style>
  <w:style w:type="paragraph" w:customStyle="1" w:styleId="Nameditemlist">
    <w:name w:val="Named item list"/>
    <w:basedOn w:val="BodyText"/>
    <w:qFormat/>
    <w:rsid w:val="00401D1C"/>
    <w:pPr>
      <w:tabs>
        <w:tab w:val="left" w:pos="2835"/>
      </w:tabs>
      <w:ind w:left="2835" w:hanging="2835"/>
    </w:pPr>
  </w:style>
  <w:style w:type="paragraph" w:customStyle="1" w:styleId="BodyTextnopadding">
    <w:name w:val="Body Text no padding"/>
    <w:basedOn w:val="BodyText"/>
    <w:qFormat/>
    <w:rsid w:val="00401D1C"/>
    <w:pPr>
      <w:spacing w:before="0" w:after="0"/>
    </w:pPr>
  </w:style>
  <w:style w:type="character" w:styleId="Hyperlink">
    <w:name w:val="Hyperlink"/>
    <w:basedOn w:val="DefaultParagraphFont"/>
    <w:uiPriority w:val="99"/>
    <w:unhideWhenUsed/>
    <w:rsid w:val="000712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854</Words>
  <Characters>5100</Characters>
  <Application>Microsoft Office Word</Application>
  <DocSecurity>0</DocSecurity>
  <Lines>242</Lines>
  <Paragraphs>129</Paragraphs>
  <ScaleCrop>false</ScaleCrop>
  <Company>Author-it Software Corporation Ltd.</Company>
  <LinksUpToDate>false</LinksUpToDate>
  <CharactersWithSpaces>5825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AVIY5036 Conduct a 3D instrument landing system instrument approach</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2019-01-31T04:30:00Z</dcterms:created>
  <dcterms:modified xsi:type="dcterms:W3CDTF">2019-01-31T04:30:00Z</dcterms:modified>
</cp:coreProperties>
</file>