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2742" w:rsidP="000F2742">
      <w:pPr>
        <w:pStyle w:val="Title"/>
      </w:pPr>
      <w:r>
        <w:fldChar w:fldCharType="begin"/>
      </w:r>
      <w:r>
        <w:instrText xml:space="preserve"> TITLE   \* MERGEFORMAT </w:instrText>
      </w:r>
      <w:r>
        <w:fldChar w:fldCharType="separate"/>
      </w:r>
      <w:r>
        <w:t>AVIY5035 Conduct a 2D very high frequency omni-directional radio range instrument approach</w:t>
      </w:r>
      <w:r>
        <w:fldChar w:fldCharType="end"/>
      </w:r>
    </w:p>
    <w:p w:rsidR="000F2742" w:rsidP="000F2742">
      <w:pPr>
        <w:pStyle w:val="Version"/>
        <w:sectPr w:rsidSect="000603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03CC" w:rsidP="000603CC">
      <w:pPr>
        <w:pStyle w:val="SuperHeading"/>
      </w:pPr>
      <w:r w:rsidRPr="000603CC">
        <w:t>AVIY5035 Cond</w:t>
      </w:r>
      <w:r w:rsidRPr="000603CC">
        <w:t>uct a 2D very high frequency omni-directional radio range instrument approach</w:t>
      </w:r>
    </w:p>
    <w:p w:rsidR="00000000" w:rsidRPr="000603CC" w:rsidP="000603CC">
      <w:pPr>
        <w:pStyle w:val="Heading1"/>
      </w:pPr>
      <w:bookmarkStart w:id="1" w:name="O_666853"/>
      <w:bookmarkEnd w:id="1"/>
      <w:r w:rsidRPr="000603CC">
        <w:t>Modification History</w:t>
      </w:r>
    </w:p>
    <w:p w:rsidR="000F2742" w:rsidP="000F2742">
      <w:pPr>
        <w:pStyle w:val="BodyText"/>
      </w:pPr>
      <w:r w:rsidRPr="000603CC">
        <w:t>Release 1. This is the first release of this unit of competency in the AVI Aviation Training Package.</w:t>
      </w:r>
    </w:p>
    <w:p w:rsidR="00000000" w:rsidRPr="000603CC" w:rsidP="000603CC">
      <w:pPr>
        <w:pStyle w:val="Heading1"/>
      </w:pPr>
      <w:bookmarkStart w:id="2" w:name="O_666854"/>
      <w:bookmarkEnd w:id="2"/>
      <w:r w:rsidRPr="000603CC">
        <w:t>Application</w:t>
      </w:r>
    </w:p>
    <w:tbl>
      <w:tblPr>
        <w:tblW w:w="9498" w:type="dxa"/>
        <w:tblLayout w:type="fixed"/>
        <w:tblCellMar>
          <w:left w:w="62" w:type="dxa"/>
          <w:right w:w="62" w:type="dxa"/>
        </w:tblCellMar>
        <w:tblLook w:val="0000"/>
      </w:tblPr>
      <w:tblGrid>
        <w:gridCol w:w="9498"/>
      </w:tblGrid>
      <w:tr w:rsidTr="000603C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603CC" w:rsidP="000603CC">
            <w:pPr>
              <w:pStyle w:val="BodyText"/>
            </w:pPr>
            <w:r w:rsidRPr="000603CC">
              <w:t>This unit involves the skills and knowledge required to conduct a 2D instrument approach using the very high frequency (VHF) omni-directional radio range (VOR) or VOR/distance measuring equipment (DME) approach procedure, in compliance with relevant regula</w:t>
            </w:r>
            <w:r w:rsidRPr="000603CC">
              <w:t>tory requirements of the Civil Aviation Safety Authority (CASA) and national operating standards.</w:t>
            </w:r>
          </w:p>
          <w:p w:rsidR="00000000" w:rsidRPr="000603CC" w:rsidP="000603CC">
            <w:pPr>
              <w:pStyle w:val="BodyText"/>
            </w:pPr>
            <w:r w:rsidRPr="000603CC">
              <w:t>It includes selecting approach and determining applicable minima, and monitoring aid signal integrity. It also includes conducting initial approach, holding p</w:t>
            </w:r>
            <w:r w:rsidRPr="000603CC">
              <w:t>attern, instrument approach and missed approach procedures.</w:t>
            </w:r>
          </w:p>
          <w:p w:rsidR="00000000" w:rsidRPr="000603CC" w:rsidP="000603CC">
            <w:pPr>
              <w:pStyle w:val="BodyText"/>
            </w:pPr>
            <w:r w:rsidRPr="000603CC">
              <w:t>This unit addresses aviation technical skill requirements (physical, mental and task-management abilities) related to aircraft operational duties of flight crew, and contributes to safe and effect</w:t>
            </w:r>
            <w:r w:rsidRPr="000603CC">
              <w:t>ive performance in complex aviation operational environments.</w:t>
            </w:r>
          </w:p>
          <w:p w:rsidR="00000000" w:rsidRPr="000603CC" w:rsidP="000603CC">
            <w:pPr>
              <w:pStyle w:val="BodyText"/>
            </w:pPr>
            <w:r w:rsidRPr="000603CC">
              <w:t>Operations are conducted as part of recreational, commercial and military aircraft activities across a variety of operational contexts within the Australian aviation industry.</w:t>
            </w:r>
          </w:p>
          <w:p w:rsidR="00000000" w:rsidRPr="000603CC" w:rsidP="000603CC">
            <w:pPr>
              <w:pStyle w:val="BodyText"/>
            </w:pPr>
            <w:r w:rsidRPr="000603CC">
              <w:t xml:space="preserve">Work is performed </w:t>
            </w:r>
            <w:r w:rsidRPr="000603CC">
              <w:t>independently or under limited supervision within a single-pilot or multi-crew environment.</w:t>
            </w:r>
          </w:p>
          <w:p w:rsidR="00000000" w:rsidRPr="000603CC" w:rsidP="000603CC">
            <w:pPr>
              <w:pStyle w:val="BodyText"/>
            </w:pPr>
            <w:r w:rsidRPr="000603CC">
              <w:t>Licensing, legislative, regulatory or certification requirements are applicable to this unit.</w:t>
            </w:r>
          </w:p>
          <w:p w:rsidR="00000000" w:rsidRPr="000603CC" w:rsidP="000603CC">
            <w:pPr>
              <w:pStyle w:val="BodyText"/>
            </w:pPr>
            <w:r w:rsidRPr="000603CC">
              <w:t xml:space="preserve">Use for Defence Aviation is to be in accordance with relevant Defence </w:t>
            </w:r>
            <w:r w:rsidRPr="000603CC">
              <w:t>Orders, Instructions, Publications and Regulations.</w:t>
            </w:r>
          </w:p>
        </w:tc>
      </w:tr>
    </w:tbl>
    <w:p w:rsidR="000F2742" w:rsidP="000603CC">
      <w:pPr>
        <w:pStyle w:val="BodyText"/>
      </w:pPr>
    </w:p>
    <w:p w:rsidR="000F2742" w:rsidP="000603CC">
      <w:pPr>
        <w:pStyle w:val="BodyText"/>
      </w:pPr>
    </w:p>
    <w:p w:rsidR="00000000" w:rsidRPr="000603CC" w:rsidP="000603CC">
      <w:pPr>
        <w:pStyle w:val="Heading1"/>
      </w:pPr>
      <w:bookmarkStart w:id="3" w:name="O_666855"/>
      <w:bookmarkEnd w:id="3"/>
      <w:r w:rsidRPr="000603CC">
        <w:t>Pre-requisite Unit</w:t>
      </w:r>
    </w:p>
    <w:p w:rsidR="000F2742" w:rsidP="000F2742">
      <w:pPr>
        <w:pStyle w:val="BodyText"/>
      </w:pPr>
      <w:r w:rsidRPr="000603CC">
        <w:t>Not applicable.</w:t>
      </w:r>
    </w:p>
    <w:p w:rsidR="00000000" w:rsidRPr="000603CC" w:rsidP="000603CC">
      <w:pPr>
        <w:pStyle w:val="Heading1"/>
      </w:pPr>
      <w:bookmarkStart w:id="4" w:name="O_666856"/>
      <w:bookmarkEnd w:id="4"/>
      <w:r w:rsidRPr="000603CC">
        <w:t>Competency Field</w:t>
      </w:r>
    </w:p>
    <w:p w:rsidR="000F2742" w:rsidP="000F2742">
      <w:pPr>
        <w:pStyle w:val="BodyText"/>
      </w:pPr>
      <w:r w:rsidRPr="000603CC">
        <w:t>Y – Aircraft Operation and Traffic Management</w:t>
      </w:r>
    </w:p>
    <w:p w:rsidR="00000000" w:rsidRPr="000603CC" w:rsidP="000603CC">
      <w:pPr>
        <w:pStyle w:val="Heading1"/>
      </w:pPr>
      <w:bookmarkStart w:id="5" w:name="O_666857"/>
      <w:bookmarkEnd w:id="5"/>
      <w:r w:rsidRPr="000603CC">
        <w:t>Unit Sector</w:t>
      </w:r>
    </w:p>
    <w:p w:rsidR="000F2742" w:rsidP="000F2742">
      <w:pPr>
        <w:pStyle w:val="BodyText"/>
      </w:pPr>
      <w:r w:rsidRPr="000603CC">
        <w:t>Not applicable.</w:t>
      </w:r>
    </w:p>
    <w:p w:rsidR="00000000" w:rsidRPr="000603CC" w:rsidP="000603CC">
      <w:pPr>
        <w:pStyle w:val="Heading1"/>
      </w:pPr>
      <w:bookmarkStart w:id="6" w:name="O_666858"/>
      <w:bookmarkEnd w:id="6"/>
      <w:r w:rsidRPr="000603CC">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0F2742">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0603CC" w:rsidP="000603CC">
            <w:pPr>
              <w:pStyle w:val="BodyText"/>
            </w:pPr>
            <w:r w:rsidRPr="000603CC">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0603CC">
            <w:pPr>
              <w:pStyle w:val="BodyText"/>
              <w:rPr>
                <w:lang w:val="en-NZ"/>
              </w:rPr>
            </w:pPr>
            <w:r w:rsidRPr="000603CC">
              <w:rPr>
                <w:rStyle w:val="SpecialBold"/>
              </w:rPr>
              <w:t>PERFORMANCE CRITERIA</w:t>
            </w:r>
          </w:p>
        </w:tc>
      </w:tr>
      <w:tr w:rsidTr="000F2742">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0603CC">
            <w:pPr>
              <w:pStyle w:val="BodyText"/>
              <w:rPr>
                <w:lang w:val="en-NZ"/>
              </w:rPr>
            </w:pPr>
            <w:r w:rsidRPr="000603CC">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0603CC">
            <w:pPr>
              <w:pStyle w:val="BodyText"/>
              <w:rPr>
                <w:lang w:val="en-NZ"/>
              </w:rPr>
            </w:pPr>
            <w:r w:rsidRPr="000603CC">
              <w:t>Performance criteria describe the performance needed to demonstrate achievement of the element.</w:t>
            </w:r>
          </w:p>
        </w:tc>
      </w:tr>
      <w:tr w:rsidTr="000F274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603CC" w:rsidP="000603CC">
            <w:pPr>
              <w:pStyle w:val="BodyText"/>
            </w:pPr>
            <w:r w:rsidRPr="000603CC">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0603CC">
            <w:pPr>
              <w:pStyle w:val="BodyText"/>
              <w:rPr>
                <w:lang w:val="en-NZ"/>
              </w:rPr>
            </w:pPr>
            <w:r w:rsidRPr="000603CC">
              <w:rPr>
                <w:rStyle w:val="SpecialBold"/>
              </w:rPr>
              <w:t>Select approach and determine applicable minim</w:t>
            </w:r>
            <w:r w:rsidRPr="000603CC">
              <w:rPr>
                <w:rStyle w:val="SpecialBold"/>
              </w:rPr>
              <w:t>a</w:t>
            </w:r>
          </w:p>
        </w:tc>
        <w:tc>
          <w:tcPr>
            <w:tcW w:w="719" w:type="dxa"/>
            <w:tcBorders>
              <w:top w:val="nil"/>
              <w:left w:val="nil"/>
              <w:bottom w:val="nil"/>
              <w:right w:val="nil"/>
            </w:tcBorders>
            <w:tcMar>
              <w:top w:w="0" w:type="dxa"/>
              <w:left w:w="62" w:type="dxa"/>
              <w:bottom w:w="0" w:type="dxa"/>
              <w:right w:w="62" w:type="dxa"/>
            </w:tcMar>
          </w:tcPr>
          <w:p w:rsidR="00000000" w:rsidP="000603CC">
            <w:pPr>
              <w:pStyle w:val="BodyText"/>
              <w:rPr>
                <w:lang w:val="en-NZ"/>
              </w:rPr>
            </w:pPr>
            <w:r w:rsidRPr="000603CC">
              <w:t>1.1</w:t>
            </w:r>
          </w:p>
        </w:tc>
        <w:tc>
          <w:tcPr>
            <w:tcW w:w="6045" w:type="dxa"/>
            <w:tcBorders>
              <w:top w:val="nil"/>
              <w:left w:val="nil"/>
              <w:bottom w:val="nil"/>
              <w:right w:val="nil"/>
            </w:tcBorders>
            <w:tcMar>
              <w:top w:w="0" w:type="dxa"/>
              <w:left w:w="62" w:type="dxa"/>
              <w:bottom w:w="0" w:type="dxa"/>
              <w:right w:w="62" w:type="dxa"/>
            </w:tcMar>
          </w:tcPr>
          <w:p w:rsidR="00000000" w:rsidP="000603CC">
            <w:pPr>
              <w:pStyle w:val="BodyText"/>
              <w:rPr>
                <w:lang w:val="en-NZ"/>
              </w:rPr>
            </w:pPr>
            <w:r w:rsidRPr="000603CC">
              <w:t>Current instrument approach and landing (IAL) chart for the VOR approach to be flown is selected</w:t>
            </w:r>
          </w:p>
        </w:tc>
      </w:tr>
      <w:tr w:rsidTr="000F274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0603CC">
            <w:pPr>
              <w:pStyle w:val="BodyText"/>
              <w:rPr>
                <w:lang w:val="en-NZ"/>
              </w:rPr>
            </w:pPr>
            <w:r w:rsidRPr="000603CC">
              <w:t>1.2</w:t>
            </w:r>
          </w:p>
        </w:tc>
        <w:tc>
          <w:tcPr>
            <w:tcW w:w="6045" w:type="dxa"/>
            <w:tcBorders>
              <w:top w:val="nil"/>
              <w:left w:val="nil"/>
              <w:bottom w:val="nil"/>
              <w:right w:val="nil"/>
            </w:tcBorders>
            <w:tcMar>
              <w:top w:w="0" w:type="dxa"/>
              <w:left w:w="62" w:type="dxa"/>
              <w:bottom w:w="0" w:type="dxa"/>
              <w:right w:w="62" w:type="dxa"/>
            </w:tcMar>
          </w:tcPr>
          <w:p w:rsidR="00000000" w:rsidP="000603CC">
            <w:pPr>
              <w:pStyle w:val="BodyText"/>
              <w:rPr>
                <w:lang w:val="en-NZ"/>
              </w:rPr>
            </w:pPr>
            <w:r w:rsidRPr="000603CC">
              <w:t xml:space="preserve">IAL is reviewed and briefed to flight crew in relation to directing entry to the approach, lowest safe altitude (LSALT) or minimum safe altitude </w:t>
            </w:r>
            <w:r w:rsidRPr="000603CC">
              <w:t>(MSA) is maintained prior to entry approach, and tracks, distances, timing and descent limitations are maintained for the approach</w:t>
            </w:r>
          </w:p>
        </w:tc>
      </w:tr>
      <w:tr w:rsidTr="000F274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0603CC">
            <w:pPr>
              <w:pStyle w:val="BodyText"/>
              <w:rPr>
                <w:lang w:val="en-NZ"/>
              </w:rPr>
            </w:pPr>
            <w:r w:rsidRPr="000603CC">
              <w:t>1.3</w:t>
            </w:r>
          </w:p>
        </w:tc>
        <w:tc>
          <w:tcPr>
            <w:tcW w:w="6045" w:type="dxa"/>
            <w:tcBorders>
              <w:top w:val="nil"/>
              <w:left w:val="nil"/>
              <w:bottom w:val="nil"/>
              <w:right w:val="nil"/>
            </w:tcBorders>
            <w:tcMar>
              <w:top w:w="0" w:type="dxa"/>
              <w:left w:w="62" w:type="dxa"/>
              <w:bottom w:w="0" w:type="dxa"/>
              <w:right w:w="62" w:type="dxa"/>
            </w:tcMar>
          </w:tcPr>
          <w:p w:rsidR="00000000" w:rsidP="000603CC">
            <w:pPr>
              <w:pStyle w:val="BodyText"/>
              <w:rPr>
                <w:lang w:val="en-NZ"/>
              </w:rPr>
            </w:pPr>
            <w:r w:rsidRPr="000603CC">
              <w:t>Fuel availability and latest divert time procedures are enacted as required</w:t>
            </w:r>
          </w:p>
        </w:tc>
      </w:tr>
      <w:tr w:rsidTr="000F274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603CC" w:rsidP="000603CC">
            <w:pPr>
              <w:pStyle w:val="BodyText"/>
            </w:pPr>
            <w:r w:rsidRPr="000603CC">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0603CC">
            <w:pPr>
              <w:pStyle w:val="BodyText"/>
              <w:rPr>
                <w:lang w:val="en-NZ"/>
              </w:rPr>
            </w:pPr>
            <w:r w:rsidRPr="000603CC">
              <w:rPr>
                <w:rStyle w:val="SpecialBold"/>
              </w:rPr>
              <w:t>Monitor aid signal integrity</w:t>
            </w:r>
          </w:p>
        </w:tc>
        <w:tc>
          <w:tcPr>
            <w:tcW w:w="719" w:type="dxa"/>
            <w:tcBorders>
              <w:top w:val="nil"/>
              <w:left w:val="nil"/>
              <w:bottom w:val="nil"/>
              <w:right w:val="nil"/>
            </w:tcBorders>
            <w:tcMar>
              <w:top w:w="0" w:type="dxa"/>
              <w:left w:w="62" w:type="dxa"/>
              <w:bottom w:w="0" w:type="dxa"/>
              <w:right w:w="62" w:type="dxa"/>
            </w:tcMar>
          </w:tcPr>
          <w:p w:rsidR="00000000" w:rsidP="000603CC">
            <w:pPr>
              <w:pStyle w:val="BodyText"/>
              <w:rPr>
                <w:lang w:val="en-NZ"/>
              </w:rPr>
            </w:pPr>
            <w:r w:rsidRPr="000603CC">
              <w:t>2.1</w:t>
            </w:r>
          </w:p>
        </w:tc>
        <w:tc>
          <w:tcPr>
            <w:tcW w:w="6045" w:type="dxa"/>
            <w:tcBorders>
              <w:top w:val="nil"/>
              <w:left w:val="nil"/>
              <w:bottom w:val="nil"/>
              <w:right w:val="nil"/>
            </w:tcBorders>
            <w:tcMar>
              <w:top w:w="0" w:type="dxa"/>
              <w:left w:w="62" w:type="dxa"/>
              <w:bottom w:w="0" w:type="dxa"/>
              <w:right w:w="62" w:type="dxa"/>
            </w:tcMar>
          </w:tcPr>
          <w:p w:rsidR="00000000" w:rsidP="000603CC">
            <w:pPr>
              <w:pStyle w:val="BodyText"/>
              <w:rPr>
                <w:lang w:val="en-NZ"/>
              </w:rPr>
            </w:pPr>
            <w:r w:rsidRPr="000603CC">
              <w:t>VOR to be used for selected approach is tuned and identified</w:t>
            </w:r>
          </w:p>
        </w:tc>
      </w:tr>
      <w:tr w:rsidTr="000F274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0603CC">
            <w:pPr>
              <w:pStyle w:val="BodyText"/>
              <w:rPr>
                <w:lang w:val="en-NZ"/>
              </w:rPr>
            </w:pPr>
            <w:r w:rsidRPr="000603CC">
              <w:t>2.2</w:t>
            </w:r>
          </w:p>
        </w:tc>
        <w:tc>
          <w:tcPr>
            <w:tcW w:w="6045" w:type="dxa"/>
            <w:tcBorders>
              <w:top w:val="nil"/>
              <w:left w:val="nil"/>
              <w:bottom w:val="nil"/>
              <w:right w:val="nil"/>
            </w:tcBorders>
            <w:tcMar>
              <w:top w:w="0" w:type="dxa"/>
              <w:left w:w="62" w:type="dxa"/>
              <w:bottom w:w="0" w:type="dxa"/>
              <w:right w:w="62" w:type="dxa"/>
            </w:tcMar>
          </w:tcPr>
          <w:p w:rsidR="00000000" w:rsidP="000603CC">
            <w:pPr>
              <w:pStyle w:val="BodyText"/>
              <w:rPr>
                <w:lang w:val="en-NZ"/>
              </w:rPr>
            </w:pPr>
            <w:r w:rsidRPr="000603CC">
              <w:t>Warning flags and course deviation indicators (CDI) are monitored throughout selected approach to ensure signal integrity</w:t>
            </w:r>
          </w:p>
        </w:tc>
      </w:tr>
      <w:tr w:rsidTr="000F274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603CC" w:rsidP="000603CC">
            <w:pPr>
              <w:pStyle w:val="BodyText"/>
            </w:pPr>
            <w:r w:rsidRPr="000603CC">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0603CC">
            <w:pPr>
              <w:pStyle w:val="BodyText"/>
              <w:rPr>
                <w:lang w:val="en-NZ"/>
              </w:rPr>
            </w:pPr>
            <w:r w:rsidRPr="000603CC">
              <w:rPr>
                <w:rStyle w:val="SpecialBold"/>
              </w:rPr>
              <w:t>Conduct initial approach</w:t>
            </w:r>
          </w:p>
        </w:tc>
        <w:tc>
          <w:tcPr>
            <w:tcW w:w="719" w:type="dxa"/>
            <w:tcBorders>
              <w:top w:val="nil"/>
              <w:left w:val="nil"/>
              <w:bottom w:val="nil"/>
              <w:right w:val="nil"/>
            </w:tcBorders>
            <w:tcMar>
              <w:top w:w="0" w:type="dxa"/>
              <w:left w:w="62" w:type="dxa"/>
              <w:bottom w:w="0" w:type="dxa"/>
              <w:right w:w="62" w:type="dxa"/>
            </w:tcMar>
          </w:tcPr>
          <w:p w:rsidR="00000000" w:rsidP="000603CC">
            <w:pPr>
              <w:pStyle w:val="BodyText"/>
              <w:rPr>
                <w:lang w:val="en-NZ"/>
              </w:rPr>
            </w:pPr>
            <w:r w:rsidRPr="000603CC">
              <w:t>3.1</w:t>
            </w:r>
          </w:p>
        </w:tc>
        <w:tc>
          <w:tcPr>
            <w:tcW w:w="6045" w:type="dxa"/>
            <w:tcBorders>
              <w:top w:val="nil"/>
              <w:left w:val="nil"/>
              <w:bottom w:val="nil"/>
              <w:right w:val="nil"/>
            </w:tcBorders>
            <w:tcMar>
              <w:top w:w="0" w:type="dxa"/>
              <w:left w:w="62" w:type="dxa"/>
              <w:bottom w:w="0" w:type="dxa"/>
              <w:right w:w="62" w:type="dxa"/>
            </w:tcMar>
          </w:tcPr>
          <w:p w:rsidR="00000000" w:rsidP="000603CC">
            <w:pPr>
              <w:pStyle w:val="BodyText"/>
              <w:rPr>
                <w:lang w:val="en-NZ"/>
              </w:rPr>
            </w:pPr>
            <w:r w:rsidRPr="000603CC">
              <w:t>Altimeter is set to appropriate QN</w:t>
            </w:r>
            <w:r w:rsidRPr="000603CC">
              <w:t>H</w:t>
            </w:r>
          </w:p>
        </w:tc>
      </w:tr>
      <w:tr w:rsidTr="000F274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0603CC">
            <w:pPr>
              <w:pStyle w:val="BodyText"/>
              <w:rPr>
                <w:lang w:val="en-NZ"/>
              </w:rPr>
            </w:pPr>
            <w:r w:rsidRPr="000603CC">
              <w:t>3.2</w:t>
            </w:r>
          </w:p>
        </w:tc>
        <w:tc>
          <w:tcPr>
            <w:tcW w:w="6045" w:type="dxa"/>
            <w:tcBorders>
              <w:top w:val="nil"/>
              <w:left w:val="nil"/>
              <w:bottom w:val="nil"/>
              <w:right w:val="nil"/>
            </w:tcBorders>
            <w:tcMar>
              <w:top w:w="0" w:type="dxa"/>
              <w:left w:w="62" w:type="dxa"/>
              <w:bottom w:w="0" w:type="dxa"/>
              <w:right w:w="62" w:type="dxa"/>
            </w:tcMar>
          </w:tcPr>
          <w:p w:rsidR="00000000" w:rsidP="000603CC">
            <w:pPr>
              <w:pStyle w:val="BodyText"/>
              <w:rPr>
                <w:lang w:val="en-NZ"/>
              </w:rPr>
            </w:pPr>
            <w:r w:rsidRPr="000603CC">
              <w:t>Aircraft is manoeuvred to holding fix on an inbound track and at or above route MSA or LSALT is maintained in accordance with aeronautical information publication (AIP) requirements, using the VOR</w:t>
            </w:r>
          </w:p>
        </w:tc>
      </w:tr>
      <w:tr w:rsidTr="000F274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603CC" w:rsidP="000603CC">
            <w:pPr>
              <w:pStyle w:val="BodyText"/>
            </w:pPr>
            <w:r w:rsidRPr="000603CC">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0603CC">
            <w:pPr>
              <w:pStyle w:val="BodyText"/>
              <w:rPr>
                <w:lang w:val="en-NZ"/>
              </w:rPr>
            </w:pPr>
            <w:r w:rsidRPr="000603CC">
              <w:rPr>
                <w:rStyle w:val="SpecialBold"/>
              </w:rPr>
              <w:t>Conduct holding pattern</w:t>
            </w:r>
          </w:p>
        </w:tc>
        <w:tc>
          <w:tcPr>
            <w:tcW w:w="719" w:type="dxa"/>
            <w:tcBorders>
              <w:top w:val="nil"/>
              <w:left w:val="nil"/>
              <w:bottom w:val="nil"/>
              <w:right w:val="nil"/>
            </w:tcBorders>
            <w:tcMar>
              <w:top w:w="0" w:type="dxa"/>
              <w:left w:w="62" w:type="dxa"/>
              <w:bottom w:w="0" w:type="dxa"/>
              <w:right w:w="62" w:type="dxa"/>
            </w:tcMar>
          </w:tcPr>
          <w:p w:rsidR="00000000" w:rsidP="000603CC">
            <w:pPr>
              <w:pStyle w:val="BodyText"/>
              <w:rPr>
                <w:lang w:val="en-NZ"/>
              </w:rPr>
            </w:pPr>
            <w:r w:rsidRPr="000603CC">
              <w:t>4.1</w:t>
            </w:r>
          </w:p>
        </w:tc>
        <w:tc>
          <w:tcPr>
            <w:tcW w:w="6045" w:type="dxa"/>
            <w:tcBorders>
              <w:top w:val="nil"/>
              <w:left w:val="nil"/>
              <w:bottom w:val="nil"/>
              <w:right w:val="nil"/>
            </w:tcBorders>
            <w:tcMar>
              <w:top w:w="0" w:type="dxa"/>
              <w:left w:w="62" w:type="dxa"/>
              <w:bottom w:w="0" w:type="dxa"/>
              <w:right w:w="62" w:type="dxa"/>
            </w:tcMar>
          </w:tcPr>
          <w:p w:rsidR="00000000" w:rsidP="000603CC">
            <w:pPr>
              <w:pStyle w:val="BodyText"/>
              <w:rPr>
                <w:lang w:val="en-NZ"/>
              </w:rPr>
            </w:pPr>
            <w:r w:rsidRPr="000603CC">
              <w:t>Aircraft holding pattern from the holding fix at or above LSALT or MSA is entered in accordance with specified sector entry</w:t>
            </w:r>
          </w:p>
        </w:tc>
      </w:tr>
      <w:tr w:rsidTr="000F274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0603CC">
            <w:pPr>
              <w:pStyle w:val="BodyText"/>
              <w:rPr>
                <w:lang w:val="en-NZ"/>
              </w:rPr>
            </w:pPr>
            <w:r w:rsidRPr="000603CC">
              <w:t>4.2</w:t>
            </w:r>
          </w:p>
        </w:tc>
        <w:tc>
          <w:tcPr>
            <w:tcW w:w="6045" w:type="dxa"/>
            <w:tcBorders>
              <w:top w:val="nil"/>
              <w:left w:val="nil"/>
              <w:bottom w:val="nil"/>
              <w:right w:val="nil"/>
            </w:tcBorders>
            <w:tcMar>
              <w:top w:w="0" w:type="dxa"/>
              <w:left w:w="62" w:type="dxa"/>
              <w:bottom w:w="0" w:type="dxa"/>
              <w:right w:w="62" w:type="dxa"/>
            </w:tcMar>
          </w:tcPr>
          <w:p w:rsidR="00000000" w:rsidP="000603CC">
            <w:pPr>
              <w:pStyle w:val="BodyText"/>
              <w:rPr>
                <w:lang w:val="en-NZ"/>
              </w:rPr>
            </w:pPr>
            <w:r w:rsidRPr="000603CC">
              <w:t>Holding pattern is performed in accordance with AIP, using the VOR</w:t>
            </w:r>
          </w:p>
        </w:tc>
      </w:tr>
      <w:tr w:rsidTr="000F274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603CC" w:rsidP="000603CC">
            <w:pPr>
              <w:pStyle w:val="BodyText"/>
            </w:pPr>
            <w:r w:rsidRPr="000603CC">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0603CC">
            <w:pPr>
              <w:pStyle w:val="BodyText"/>
              <w:rPr>
                <w:lang w:val="en-NZ"/>
              </w:rPr>
            </w:pPr>
            <w:r w:rsidRPr="000603CC">
              <w:rPr>
                <w:rStyle w:val="SpecialBold"/>
              </w:rPr>
              <w:t>Conduct instrument approach procedure</w:t>
            </w:r>
          </w:p>
        </w:tc>
        <w:tc>
          <w:tcPr>
            <w:tcW w:w="719" w:type="dxa"/>
            <w:tcBorders>
              <w:top w:val="nil"/>
              <w:left w:val="nil"/>
              <w:bottom w:val="nil"/>
              <w:right w:val="nil"/>
            </w:tcBorders>
            <w:tcMar>
              <w:top w:w="0" w:type="dxa"/>
              <w:left w:w="62" w:type="dxa"/>
              <w:bottom w:w="0" w:type="dxa"/>
              <w:right w:w="62" w:type="dxa"/>
            </w:tcMar>
          </w:tcPr>
          <w:p w:rsidR="00000000" w:rsidP="000603CC">
            <w:pPr>
              <w:pStyle w:val="BodyText"/>
              <w:rPr>
                <w:lang w:val="en-NZ"/>
              </w:rPr>
            </w:pPr>
            <w:r w:rsidRPr="000603CC">
              <w:t>5.1</w:t>
            </w:r>
          </w:p>
        </w:tc>
        <w:tc>
          <w:tcPr>
            <w:tcW w:w="6045" w:type="dxa"/>
            <w:tcBorders>
              <w:top w:val="nil"/>
              <w:left w:val="nil"/>
              <w:bottom w:val="nil"/>
              <w:right w:val="nil"/>
            </w:tcBorders>
            <w:tcMar>
              <w:top w:w="0" w:type="dxa"/>
              <w:left w:w="62" w:type="dxa"/>
              <w:bottom w:w="0" w:type="dxa"/>
              <w:right w:w="62" w:type="dxa"/>
            </w:tcMar>
          </w:tcPr>
          <w:p w:rsidR="00000000" w:rsidP="000603CC">
            <w:pPr>
              <w:pStyle w:val="BodyText"/>
              <w:rPr>
                <w:lang w:val="en-NZ"/>
              </w:rPr>
            </w:pPr>
            <w:r w:rsidRPr="000603CC">
              <w:t>Altimeter QNH is updated and set prior to approach commencement</w:t>
            </w:r>
          </w:p>
        </w:tc>
      </w:tr>
      <w:tr w:rsidTr="000F274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0603CC">
            <w:pPr>
              <w:pStyle w:val="BodyText"/>
              <w:rPr>
                <w:lang w:val="en-NZ"/>
              </w:rPr>
            </w:pPr>
            <w:r w:rsidRPr="000603CC">
              <w:t>5.2</w:t>
            </w:r>
          </w:p>
        </w:tc>
        <w:tc>
          <w:tcPr>
            <w:tcW w:w="6045" w:type="dxa"/>
            <w:tcBorders>
              <w:top w:val="nil"/>
              <w:left w:val="nil"/>
              <w:bottom w:val="nil"/>
              <w:right w:val="nil"/>
            </w:tcBorders>
            <w:tcMar>
              <w:top w:w="0" w:type="dxa"/>
              <w:left w:w="62" w:type="dxa"/>
              <w:bottom w:w="0" w:type="dxa"/>
              <w:right w:w="62" w:type="dxa"/>
            </w:tcMar>
          </w:tcPr>
          <w:p w:rsidR="00000000" w:rsidP="000603CC">
            <w:pPr>
              <w:pStyle w:val="BodyText"/>
              <w:rPr>
                <w:lang w:val="en-NZ"/>
              </w:rPr>
            </w:pPr>
            <w:r w:rsidRPr="000603CC">
              <w:t>Instrument approach is conducted in accordance with tolerances specified in AIP using the VOR or VOR/ DME</w:t>
            </w:r>
          </w:p>
        </w:tc>
      </w:tr>
      <w:tr w:rsidTr="000F274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0603CC">
            <w:pPr>
              <w:pStyle w:val="BodyText"/>
              <w:rPr>
                <w:lang w:val="en-NZ"/>
              </w:rPr>
            </w:pPr>
            <w:r w:rsidRPr="000603CC">
              <w:t>5.3</w:t>
            </w:r>
          </w:p>
        </w:tc>
        <w:tc>
          <w:tcPr>
            <w:tcW w:w="6045" w:type="dxa"/>
            <w:tcBorders>
              <w:top w:val="nil"/>
              <w:left w:val="nil"/>
              <w:bottom w:val="nil"/>
              <w:right w:val="nil"/>
            </w:tcBorders>
            <w:tcMar>
              <w:top w:w="0" w:type="dxa"/>
              <w:left w:w="62" w:type="dxa"/>
              <w:bottom w:w="0" w:type="dxa"/>
              <w:right w:w="62" w:type="dxa"/>
            </w:tcMar>
          </w:tcPr>
          <w:p w:rsidR="00000000" w:rsidP="000603CC">
            <w:pPr>
              <w:pStyle w:val="BodyText"/>
              <w:rPr>
                <w:lang w:val="en-NZ"/>
              </w:rPr>
            </w:pPr>
            <w:r w:rsidRPr="000603CC">
              <w:t>Landing runway is identified</w:t>
            </w:r>
          </w:p>
        </w:tc>
      </w:tr>
      <w:tr w:rsidTr="000F274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0603CC">
            <w:pPr>
              <w:pStyle w:val="BodyText"/>
              <w:rPr>
                <w:lang w:val="en-NZ"/>
              </w:rPr>
            </w:pPr>
            <w:r w:rsidRPr="000603CC">
              <w:t>5.4</w:t>
            </w:r>
          </w:p>
        </w:tc>
        <w:tc>
          <w:tcPr>
            <w:tcW w:w="6045" w:type="dxa"/>
            <w:tcBorders>
              <w:top w:val="nil"/>
              <w:left w:val="nil"/>
              <w:bottom w:val="nil"/>
              <w:right w:val="nil"/>
            </w:tcBorders>
            <w:tcMar>
              <w:top w:w="0" w:type="dxa"/>
              <w:left w:w="62" w:type="dxa"/>
              <w:bottom w:w="0" w:type="dxa"/>
              <w:right w:w="62" w:type="dxa"/>
            </w:tcMar>
          </w:tcPr>
          <w:p w:rsidR="00000000" w:rsidP="000603CC">
            <w:pPr>
              <w:pStyle w:val="BodyText"/>
              <w:rPr>
                <w:lang w:val="en-NZ"/>
              </w:rPr>
            </w:pPr>
            <w:r w:rsidRPr="000603CC">
              <w:t>After establishing visual reference, a visual circling or runway approach is conducted for a landing on selected runway, in accordance with AIP</w:t>
            </w:r>
          </w:p>
        </w:tc>
      </w:tr>
      <w:tr w:rsidTr="000F274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603CC" w:rsidP="000603CC">
            <w:pPr>
              <w:pStyle w:val="BodyText"/>
            </w:pPr>
            <w:r w:rsidRPr="000603CC">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0603CC">
            <w:pPr>
              <w:pStyle w:val="BodyText"/>
              <w:rPr>
                <w:lang w:val="en-NZ"/>
              </w:rPr>
            </w:pPr>
            <w:r w:rsidRPr="000603CC">
              <w:rPr>
                <w:rStyle w:val="SpecialBold"/>
              </w:rPr>
              <w:t>Conduct missed approach procedure</w:t>
            </w:r>
          </w:p>
        </w:tc>
        <w:tc>
          <w:tcPr>
            <w:tcW w:w="719" w:type="dxa"/>
            <w:tcBorders>
              <w:top w:val="nil"/>
              <w:left w:val="nil"/>
              <w:bottom w:val="nil"/>
              <w:right w:val="nil"/>
            </w:tcBorders>
            <w:tcMar>
              <w:top w:w="0" w:type="dxa"/>
              <w:left w:w="62" w:type="dxa"/>
              <w:bottom w:w="0" w:type="dxa"/>
              <w:right w:w="62" w:type="dxa"/>
            </w:tcMar>
          </w:tcPr>
          <w:p w:rsidR="00000000" w:rsidP="000603CC">
            <w:pPr>
              <w:pStyle w:val="BodyText"/>
              <w:rPr>
                <w:lang w:val="en-NZ"/>
              </w:rPr>
            </w:pPr>
            <w:r w:rsidRPr="000603CC">
              <w:t>6.1</w:t>
            </w:r>
          </w:p>
        </w:tc>
        <w:tc>
          <w:tcPr>
            <w:tcW w:w="6045" w:type="dxa"/>
            <w:tcBorders>
              <w:top w:val="nil"/>
              <w:left w:val="nil"/>
              <w:bottom w:val="nil"/>
              <w:right w:val="nil"/>
            </w:tcBorders>
            <w:tcMar>
              <w:top w:w="0" w:type="dxa"/>
              <w:left w:w="62" w:type="dxa"/>
              <w:bottom w:w="0" w:type="dxa"/>
              <w:right w:w="62" w:type="dxa"/>
            </w:tcMar>
          </w:tcPr>
          <w:p w:rsidR="00000000" w:rsidP="000603CC">
            <w:pPr>
              <w:pStyle w:val="BodyText"/>
              <w:rPr>
                <w:lang w:val="en-NZ"/>
              </w:rPr>
            </w:pPr>
            <w:r w:rsidRPr="000603CC">
              <w:t>Conditions requiring a missed approach are recognised and missed approa</w:t>
            </w:r>
            <w:r w:rsidRPr="000603CC">
              <w:t>ch is initiated</w:t>
            </w:r>
          </w:p>
        </w:tc>
      </w:tr>
      <w:tr w:rsidTr="000F274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0603CC">
            <w:pPr>
              <w:pStyle w:val="BodyText"/>
              <w:rPr>
                <w:lang w:val="en-NZ"/>
              </w:rPr>
            </w:pPr>
            <w:r w:rsidRPr="000603CC">
              <w:t>6.2</w:t>
            </w:r>
          </w:p>
        </w:tc>
        <w:tc>
          <w:tcPr>
            <w:tcW w:w="6045" w:type="dxa"/>
            <w:tcBorders>
              <w:top w:val="nil"/>
              <w:left w:val="nil"/>
              <w:bottom w:val="nil"/>
              <w:right w:val="nil"/>
            </w:tcBorders>
            <w:tcMar>
              <w:top w:w="0" w:type="dxa"/>
              <w:left w:w="62" w:type="dxa"/>
              <w:bottom w:w="0" w:type="dxa"/>
              <w:right w:w="62" w:type="dxa"/>
            </w:tcMar>
          </w:tcPr>
          <w:p w:rsidR="00000000" w:rsidP="000603CC">
            <w:pPr>
              <w:pStyle w:val="BodyText"/>
              <w:rPr>
                <w:lang w:val="en-NZ"/>
              </w:rPr>
            </w:pPr>
            <w:r w:rsidRPr="000603CC">
              <w:t>Aircraft is manoeuvred to missed approach point (MAPt)</w:t>
            </w:r>
          </w:p>
        </w:tc>
      </w:tr>
      <w:tr w:rsidTr="000F274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0603CC">
            <w:pPr>
              <w:pStyle w:val="BodyText"/>
              <w:rPr>
                <w:lang w:val="en-NZ"/>
              </w:rPr>
            </w:pPr>
            <w:r w:rsidRPr="000603CC">
              <w:t>6.3</w:t>
            </w:r>
          </w:p>
        </w:tc>
        <w:tc>
          <w:tcPr>
            <w:tcW w:w="6045" w:type="dxa"/>
            <w:tcBorders>
              <w:top w:val="nil"/>
              <w:left w:val="nil"/>
              <w:bottom w:val="nil"/>
              <w:right w:val="nil"/>
            </w:tcBorders>
            <w:tcMar>
              <w:top w:w="0" w:type="dxa"/>
              <w:left w:w="62" w:type="dxa"/>
              <w:bottom w:w="0" w:type="dxa"/>
              <w:right w:w="62" w:type="dxa"/>
            </w:tcMar>
          </w:tcPr>
          <w:p w:rsidR="00000000" w:rsidP="000603CC">
            <w:pPr>
              <w:pStyle w:val="BodyText"/>
              <w:rPr>
                <w:lang w:val="en-NZ"/>
              </w:rPr>
            </w:pPr>
            <w:r w:rsidRPr="000603CC">
              <w:t>Missed approach procedure is conducted in accordance with the IAL chart</w:t>
            </w:r>
          </w:p>
        </w:tc>
      </w:tr>
      <w:tr w:rsidTr="000F274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0603CC">
            <w:pPr>
              <w:pStyle w:val="BodyText"/>
              <w:rPr>
                <w:lang w:val="en-NZ"/>
              </w:rPr>
            </w:pPr>
            <w:r w:rsidRPr="000603CC">
              <w:t>6.4</w:t>
            </w:r>
          </w:p>
        </w:tc>
        <w:tc>
          <w:tcPr>
            <w:tcW w:w="6045" w:type="dxa"/>
            <w:tcBorders>
              <w:top w:val="nil"/>
              <w:left w:val="nil"/>
              <w:bottom w:val="nil"/>
              <w:right w:val="nil"/>
            </w:tcBorders>
            <w:tcMar>
              <w:top w:w="0" w:type="dxa"/>
              <w:left w:w="62" w:type="dxa"/>
              <w:bottom w:w="0" w:type="dxa"/>
              <w:right w:w="62" w:type="dxa"/>
            </w:tcMar>
          </w:tcPr>
          <w:p w:rsidR="00000000" w:rsidRPr="000603CC" w:rsidP="000603CC">
            <w:pPr>
              <w:pStyle w:val="BodyText"/>
            </w:pPr>
            <w:r w:rsidRPr="000603CC">
              <w:t>Obstacle clearance in instrument meteorological conditions (IMC) is maintained</w:t>
            </w:r>
          </w:p>
        </w:tc>
      </w:tr>
    </w:tbl>
    <w:p w:rsidR="000F2742" w:rsidP="000603CC">
      <w:pPr>
        <w:pStyle w:val="BodyText"/>
      </w:pPr>
    </w:p>
    <w:p w:rsidR="000F2742" w:rsidP="000603CC">
      <w:pPr>
        <w:pStyle w:val="BodyText"/>
      </w:pPr>
    </w:p>
    <w:p w:rsidR="00000000" w:rsidRPr="000603CC" w:rsidP="000603CC">
      <w:pPr>
        <w:pStyle w:val="Heading1"/>
      </w:pPr>
      <w:bookmarkStart w:id="7" w:name="O_666859"/>
      <w:bookmarkEnd w:id="7"/>
      <w:r w:rsidRPr="000603CC">
        <w:t>Foundation Skills</w:t>
      </w:r>
    </w:p>
    <w:p w:rsidR="000F2742" w:rsidP="000F2742">
      <w:pPr>
        <w:pStyle w:val="BodyText"/>
      </w:pPr>
      <w:r w:rsidRPr="000603CC">
        <w:t>Foundation skills essential to performance are explicit in the performance criteria of this unit of competency.</w:t>
      </w:r>
    </w:p>
    <w:p w:rsidR="00000000" w:rsidRPr="000603CC" w:rsidP="000603CC">
      <w:pPr>
        <w:pStyle w:val="Heading1"/>
      </w:pPr>
      <w:bookmarkStart w:id="8" w:name="O_666860"/>
      <w:bookmarkEnd w:id="8"/>
      <w:r w:rsidRPr="000603CC">
        <w:t>Range of Conditions</w:t>
      </w:r>
    </w:p>
    <w:p w:rsidR="000F2742" w:rsidP="000F2742">
      <w:pPr>
        <w:pStyle w:val="BodyText"/>
      </w:pPr>
      <w:r w:rsidRPr="000603CC">
        <w:t>Range is restricted to essential operating conditions and any other variables es</w:t>
      </w:r>
      <w:r w:rsidRPr="000603CC">
        <w:t>sential to the work environment.</w:t>
      </w:r>
    </w:p>
    <w:p w:rsidR="00000000" w:rsidRPr="000603CC" w:rsidP="000603CC">
      <w:pPr>
        <w:pStyle w:val="Heading1"/>
      </w:pPr>
      <w:bookmarkStart w:id="9" w:name="O_666861"/>
      <w:bookmarkEnd w:id="9"/>
      <w:r w:rsidRPr="000603CC">
        <w:t>Unit Mapping Information</w:t>
      </w:r>
    </w:p>
    <w:p w:rsidR="000F2742" w:rsidP="000F2742">
      <w:pPr>
        <w:pStyle w:val="BodyText"/>
      </w:pPr>
      <w:r w:rsidRPr="000603CC">
        <w:t>This unit replaces and is equivalent to AVIY5035A Perform VHF omni-directional radio range (VOR) instrument approach.</w:t>
      </w:r>
    </w:p>
    <w:p w:rsidR="00000000" w:rsidRPr="000603CC" w:rsidP="000603CC">
      <w:pPr>
        <w:pStyle w:val="Heading1"/>
      </w:pPr>
      <w:bookmarkStart w:id="10" w:name="O_666868"/>
      <w:bookmarkEnd w:id="10"/>
      <w:r w:rsidRPr="000603CC">
        <w:t>Links</w:t>
      </w:r>
    </w:p>
    <w:p w:rsidR="00000000" w:rsidRPr="000603CC" w:rsidP="000F2742">
      <w:pPr>
        <w:pStyle w:val="BodyText"/>
      </w:pPr>
      <w:r w:rsidRPr="000603CC">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6E1095">
        <w:rPr>
          <w:rStyle w:val="Hyperlink"/>
        </w:rPr>
        <w:t>https://vetnet.education.gov.au/Pages/TrainingDocs.aspx?q=4725260a-0af3-4daf-912b-ef1c2f3e5816</w:t>
      </w:r>
      <w:r>
        <w:fldChar w:fldCharType="end"/>
      </w:r>
    </w:p>
    <w:p w:rsidR="00000000" w:rsidRPr="000603CC" w:rsidP="000603CC"/>
    <w:sectPr w:rsidSect="000603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3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3CC" w:rsidRPr="000F2742" w:rsidP="000F27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3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742" w:rsidP="000603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F2742" w:rsidP="000603C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F2742" w:rsidP="000603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3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7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03CC" w:rsidRPr="000F2742" w:rsidP="000F27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3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742" w:rsidRPr="002D2AF8" w:rsidP="000603CC">
    <w:pPr>
      <w:pStyle w:val="Header"/>
      <w:framePr w:wrap="around"/>
    </w:pPr>
    <w:r>
      <w:fldChar w:fldCharType="begin"/>
    </w:r>
    <w:r>
      <w:instrText xml:space="preserve"> TITLE   \* MERGEFORMAT </w:instrText>
    </w:r>
    <w:r>
      <w:fldChar w:fldCharType="separate"/>
    </w:r>
    <w:r>
      <w:t>AVIY5035 Conduct a 2D very high frequency omni-directional radio range instrument approach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0F2742" w:rsidP="000603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3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03CC"/>
    <w:pPr>
      <w:spacing w:before="360" w:after="60"/>
      <w:outlineLvl w:val="0"/>
    </w:pPr>
    <w:rPr>
      <w:sz w:val="32"/>
    </w:rPr>
  </w:style>
  <w:style w:type="paragraph" w:styleId="Heading2">
    <w:name w:val="heading 2"/>
    <w:basedOn w:val="HeadingBase"/>
    <w:next w:val="BodyText"/>
    <w:link w:val="Heading2Char"/>
    <w:qFormat/>
    <w:rsid w:val="000603CC"/>
    <w:pPr>
      <w:keepLines/>
      <w:spacing w:before="240" w:after="120"/>
      <w:outlineLvl w:val="1"/>
    </w:pPr>
    <w:rPr>
      <w:sz w:val="28"/>
      <w:szCs w:val="40"/>
    </w:rPr>
  </w:style>
  <w:style w:type="paragraph" w:styleId="Heading3">
    <w:name w:val="heading 3"/>
    <w:basedOn w:val="HeadingBase"/>
    <w:next w:val="BodyText"/>
    <w:link w:val="Heading3Char"/>
    <w:qFormat/>
    <w:rsid w:val="000603CC"/>
    <w:pPr>
      <w:spacing w:before="180" w:after="120"/>
      <w:outlineLvl w:val="2"/>
    </w:pPr>
    <w:rPr>
      <w:spacing w:val="-10"/>
      <w:kern w:val="32"/>
    </w:rPr>
  </w:style>
  <w:style w:type="paragraph" w:styleId="Heading4">
    <w:name w:val="heading 4"/>
    <w:basedOn w:val="HeadingBase"/>
    <w:next w:val="BodyText"/>
    <w:link w:val="Heading4Char"/>
    <w:qFormat/>
    <w:rsid w:val="000603CC"/>
    <w:pPr>
      <w:spacing w:before="160" w:after="120"/>
      <w:outlineLvl w:val="3"/>
    </w:pPr>
    <w:rPr>
      <w:sz w:val="22"/>
    </w:rPr>
  </w:style>
  <w:style w:type="paragraph" w:styleId="Heading5">
    <w:name w:val="heading 5"/>
    <w:basedOn w:val="HeadingBase"/>
    <w:next w:val="Normal"/>
    <w:link w:val="Heading5Char"/>
    <w:qFormat/>
    <w:rsid w:val="000603CC"/>
    <w:pPr>
      <w:spacing w:before="80"/>
      <w:outlineLvl w:val="4"/>
    </w:pPr>
    <w:rPr>
      <w:color w:val="918585"/>
      <w:sz w:val="20"/>
    </w:rPr>
  </w:style>
  <w:style w:type="paragraph" w:styleId="Heading6">
    <w:name w:val="heading 6"/>
    <w:basedOn w:val="HeadingBase"/>
    <w:next w:val="Normal"/>
    <w:link w:val="Heading6Char"/>
    <w:qFormat/>
    <w:rsid w:val="000603CC"/>
    <w:pPr>
      <w:spacing w:before="60"/>
      <w:outlineLvl w:val="5"/>
    </w:pPr>
    <w:rPr>
      <w:color w:val="918585"/>
      <w:sz w:val="20"/>
    </w:rPr>
  </w:style>
  <w:style w:type="paragraph" w:styleId="Heading7">
    <w:name w:val="heading 7"/>
    <w:basedOn w:val="Normal"/>
    <w:next w:val="Normal"/>
    <w:link w:val="Heading7Char"/>
    <w:qFormat/>
    <w:rsid w:val="000603CC"/>
    <w:pPr>
      <w:ind w:left="720"/>
      <w:outlineLvl w:val="6"/>
    </w:pPr>
    <w:rPr>
      <w:i/>
    </w:rPr>
  </w:style>
  <w:style w:type="paragraph" w:styleId="Heading8">
    <w:name w:val="heading 8"/>
    <w:basedOn w:val="Normal"/>
    <w:next w:val="Normal"/>
    <w:link w:val="Heading8Char"/>
    <w:qFormat/>
    <w:rsid w:val="000603CC"/>
    <w:pPr>
      <w:ind w:left="720"/>
      <w:outlineLvl w:val="7"/>
    </w:pPr>
    <w:rPr>
      <w:i/>
    </w:rPr>
  </w:style>
  <w:style w:type="paragraph" w:styleId="Heading9">
    <w:name w:val="heading 9"/>
    <w:basedOn w:val="Normal"/>
    <w:next w:val="Normal"/>
    <w:link w:val="Heading9Char"/>
    <w:qFormat/>
    <w:rsid w:val="000603CC"/>
    <w:pPr>
      <w:ind w:left="720"/>
      <w:outlineLvl w:val="8"/>
    </w:pPr>
    <w:rPr>
      <w:i/>
    </w:rPr>
  </w:style>
  <w:style w:type="character" w:default="1" w:styleId="DefaultParagraphFont">
    <w:name w:val="Default Paragraph Font"/>
    <w:uiPriority w:val="1"/>
    <w:unhideWhenUsed/>
    <w:rsid w:val="000603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03CC"/>
  </w:style>
  <w:style w:type="character" w:customStyle="1" w:styleId="Heading1Char">
    <w:name w:val="Heading 1 Char"/>
    <w:basedOn w:val="DefaultParagraphFont"/>
    <w:link w:val="Heading1"/>
    <w:rsid w:val="000603CC"/>
    <w:rPr>
      <w:rFonts w:ascii="Times New Roman" w:eastAsia="Times New Roman" w:hAnsi="Times New Roman" w:cs="Times New Roman"/>
      <w:b/>
      <w:sz w:val="32"/>
      <w:szCs w:val="20"/>
      <w:lang w:eastAsia="en-US"/>
    </w:rPr>
  </w:style>
  <w:style w:type="paragraph" w:styleId="BodyText">
    <w:name w:val="Body Text"/>
    <w:basedOn w:val="Normal"/>
    <w:link w:val="BodyTextChar"/>
    <w:rsid w:val="000603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03CC"/>
    <w:rPr>
      <w:rFonts w:ascii="Times New Roman" w:eastAsia="Times New Roman" w:hAnsi="Times New Roman" w:cs="Times New Roman"/>
      <w:sz w:val="24"/>
      <w:lang w:eastAsia="en-US"/>
    </w:rPr>
  </w:style>
  <w:style w:type="character" w:customStyle="1" w:styleId="SpecialBold">
    <w:name w:val="Special Bold"/>
    <w:basedOn w:val="DefaultParagraphFont"/>
    <w:rsid w:val="000603CC"/>
    <w:rPr>
      <w:b/>
      <w:spacing w:val="0"/>
    </w:rPr>
  </w:style>
  <w:style w:type="paragraph" w:customStyle="1" w:styleId="SuperHeading">
    <w:name w:val="SuperHeading"/>
    <w:basedOn w:val="Normal"/>
    <w:rsid w:val="000603CC"/>
    <w:pPr>
      <w:spacing w:before="240" w:after="120"/>
      <w:outlineLvl w:val="0"/>
    </w:pPr>
    <w:rPr>
      <w:rFonts w:ascii="Times New Roman" w:hAnsi="Times New Roman"/>
      <w:b/>
      <w:sz w:val="32"/>
    </w:rPr>
  </w:style>
  <w:style w:type="paragraph" w:customStyle="1" w:styleId="AllowPageBreak">
    <w:name w:val="AllowPageBreak"/>
    <w:rsid w:val="000603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03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03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03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03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03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03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03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03CC"/>
    <w:rPr>
      <w:rFonts w:ascii="Courier New" w:eastAsia="Times New Roman" w:hAnsi="Courier New" w:cs="Times New Roman"/>
      <w:i/>
      <w:szCs w:val="20"/>
      <w:lang w:eastAsia="en-US"/>
    </w:rPr>
  </w:style>
  <w:style w:type="paragraph" w:customStyle="1" w:styleId="HeadingBase">
    <w:name w:val="Heading Base"/>
    <w:rsid w:val="000603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03CC"/>
    <w:pPr>
      <w:tabs>
        <w:tab w:val="right" w:leader="dot" w:pos="9072"/>
      </w:tabs>
      <w:ind w:left="567"/>
    </w:pPr>
    <w:rPr>
      <w:szCs w:val="22"/>
    </w:rPr>
  </w:style>
  <w:style w:type="paragraph" w:customStyle="1" w:styleId="TOCBase">
    <w:name w:val="TOC Base"/>
    <w:rsid w:val="000603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03CC"/>
    <w:pPr>
      <w:tabs>
        <w:tab w:val="right" w:leader="dot" w:pos="9072"/>
      </w:tabs>
      <w:spacing w:before="40" w:after="40"/>
      <w:ind w:left="284"/>
    </w:pPr>
    <w:rPr>
      <w:rFonts w:ascii="Times New Roman" w:hAnsi="Times New Roman"/>
    </w:rPr>
  </w:style>
  <w:style w:type="paragraph" w:styleId="TOC1">
    <w:name w:val="toc 1"/>
    <w:basedOn w:val="TOCBase"/>
    <w:next w:val="Normal"/>
    <w:rsid w:val="000603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03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03CC"/>
    <w:rPr>
      <w:rFonts w:ascii="Times New Roman" w:eastAsia="Times New Roman" w:hAnsi="Times New Roman" w:cs="Times New Roman"/>
      <w:sz w:val="16"/>
      <w:lang w:eastAsia="en-US"/>
    </w:rPr>
  </w:style>
  <w:style w:type="paragraph" w:styleId="Title">
    <w:name w:val="Title"/>
    <w:basedOn w:val="HeadingBase"/>
    <w:link w:val="TitleChar"/>
    <w:qFormat/>
    <w:rsid w:val="000603CC"/>
    <w:pPr>
      <w:spacing w:before="5040"/>
      <w:jc w:val="center"/>
    </w:pPr>
    <w:rPr>
      <w:sz w:val="48"/>
      <w:szCs w:val="72"/>
      <w:lang w:val="en-US"/>
    </w:rPr>
  </w:style>
  <w:style w:type="character" w:customStyle="1" w:styleId="TitleChar">
    <w:name w:val="Title Char"/>
    <w:basedOn w:val="DefaultParagraphFont"/>
    <w:link w:val="Title"/>
    <w:rsid w:val="000603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03CC"/>
    <w:pPr>
      <w:tabs>
        <w:tab w:val="left" w:pos="3600"/>
        <w:tab w:val="left" w:pos="3958"/>
      </w:tabs>
    </w:pPr>
  </w:style>
  <w:style w:type="paragraph" w:styleId="List">
    <w:name w:val="List"/>
    <w:basedOn w:val="BodyText"/>
    <w:next w:val="BodyText"/>
    <w:rsid w:val="000603CC"/>
    <w:pPr>
      <w:tabs>
        <w:tab w:val="left" w:pos="340"/>
      </w:tabs>
      <w:spacing w:before="60" w:after="60"/>
      <w:ind w:left="340" w:hanging="340"/>
    </w:pPr>
  </w:style>
  <w:style w:type="paragraph" w:styleId="ListBullet">
    <w:name w:val="List Bullet"/>
    <w:basedOn w:val="List"/>
    <w:rsid w:val="000603CC"/>
    <w:pPr>
      <w:numPr>
        <w:numId w:val="11"/>
      </w:numPr>
      <w:tabs>
        <w:tab w:val="clear" w:pos="340"/>
      </w:tabs>
      <w:spacing w:before="40" w:after="40"/>
    </w:pPr>
  </w:style>
  <w:style w:type="paragraph" w:customStyle="1" w:styleId="Note">
    <w:name w:val="Note"/>
    <w:basedOn w:val="BodyText"/>
    <w:rsid w:val="000603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03CC"/>
    <w:pPr>
      <w:framePr w:wrap="auto" w:hAnchor="text" w:y="6049"/>
    </w:pPr>
    <w:rPr>
      <w:color w:val="000000"/>
      <w:sz w:val="40"/>
    </w:rPr>
  </w:style>
  <w:style w:type="paragraph" w:customStyle="1" w:styleId="TOCTitle">
    <w:name w:val="TOCTitle"/>
    <w:basedOn w:val="Heading1"/>
    <w:rsid w:val="000603CC"/>
    <w:pPr>
      <w:spacing w:after="240"/>
      <w:jc w:val="center"/>
      <w:outlineLvl w:val="9"/>
    </w:pPr>
    <w:rPr>
      <w:caps/>
    </w:rPr>
  </w:style>
  <w:style w:type="paragraph" w:customStyle="1" w:styleId="Version">
    <w:name w:val="Version"/>
    <w:rsid w:val="000603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03CC"/>
    <w:pPr>
      <w:numPr>
        <w:numId w:val="12"/>
      </w:numPr>
      <w:tabs>
        <w:tab w:val="clear" w:pos="680"/>
      </w:tabs>
    </w:pPr>
  </w:style>
  <w:style w:type="paragraph" w:styleId="Index1">
    <w:name w:val="index 1"/>
    <w:basedOn w:val="Normal"/>
    <w:next w:val="Normal"/>
    <w:semiHidden/>
    <w:rsid w:val="000603CC"/>
    <w:pPr>
      <w:keepNext w:val="0"/>
      <w:tabs>
        <w:tab w:val="right" w:pos="4176"/>
      </w:tabs>
      <w:ind w:left="198" w:hanging="198"/>
    </w:pPr>
    <w:rPr>
      <w:rFonts w:ascii="Garamond" w:hAnsi="Garamond"/>
    </w:rPr>
  </w:style>
  <w:style w:type="paragraph" w:styleId="IndexHeading">
    <w:name w:val="index heading"/>
    <w:basedOn w:val="Normal"/>
    <w:next w:val="Index1"/>
    <w:semiHidden/>
    <w:rsid w:val="000603CC"/>
    <w:pPr>
      <w:spacing w:before="120" w:after="120"/>
    </w:pPr>
    <w:rPr>
      <w:rFonts w:ascii="Arial" w:hAnsi="Arial"/>
      <w:b/>
      <w:color w:val="918585"/>
      <w:sz w:val="24"/>
    </w:rPr>
  </w:style>
  <w:style w:type="paragraph" w:styleId="Header">
    <w:name w:val="header"/>
    <w:basedOn w:val="Normal"/>
    <w:link w:val="HeaderChar"/>
    <w:rsid w:val="000603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03CC"/>
    <w:rPr>
      <w:rFonts w:ascii="Times New Roman" w:eastAsia="Times New Roman" w:hAnsi="Times New Roman" w:cs="Times New Roman"/>
      <w:sz w:val="16"/>
      <w:szCs w:val="20"/>
      <w:lang w:val="en-GB" w:eastAsia="en-US"/>
    </w:rPr>
  </w:style>
  <w:style w:type="paragraph" w:customStyle="1" w:styleId="Chapter">
    <w:name w:val="Chapter"/>
    <w:basedOn w:val="Normal"/>
    <w:rsid w:val="000603CC"/>
    <w:pPr>
      <w:spacing w:before="240"/>
    </w:pPr>
    <w:rPr>
      <w:rFonts w:ascii="Times New Roman" w:hAnsi="Times New Roman"/>
      <w:smallCaps/>
      <w:spacing w:val="80"/>
      <w:sz w:val="28"/>
    </w:rPr>
  </w:style>
  <w:style w:type="paragraph" w:customStyle="1" w:styleId="InChapter">
    <w:name w:val="InChapter"/>
    <w:basedOn w:val="Heading3"/>
    <w:rsid w:val="000603CC"/>
    <w:pPr>
      <w:spacing w:after="240"/>
      <w:outlineLvl w:val="9"/>
    </w:pPr>
    <w:rPr>
      <w:noProof/>
    </w:rPr>
  </w:style>
  <w:style w:type="paragraph" w:styleId="Index2">
    <w:name w:val="index 2"/>
    <w:basedOn w:val="Normal"/>
    <w:next w:val="Normal"/>
    <w:semiHidden/>
    <w:rsid w:val="000603CC"/>
    <w:pPr>
      <w:tabs>
        <w:tab w:val="right" w:pos="4176"/>
      </w:tabs>
      <w:ind w:left="568" w:hanging="284"/>
    </w:pPr>
    <w:rPr>
      <w:rFonts w:ascii="Garamond" w:hAnsi="Garamond"/>
    </w:rPr>
  </w:style>
  <w:style w:type="paragraph" w:customStyle="1" w:styleId="Byline">
    <w:name w:val="Byline"/>
    <w:rsid w:val="000603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03CC"/>
    <w:pPr>
      <w:tabs>
        <w:tab w:val="clear" w:pos="3600"/>
        <w:tab w:val="clear" w:pos="3958"/>
      </w:tabs>
      <w:jc w:val="right"/>
    </w:pPr>
  </w:style>
  <w:style w:type="character" w:styleId="Emphasis">
    <w:name w:val="Emphasis"/>
    <w:basedOn w:val="DefaultParagraphFont"/>
    <w:qFormat/>
    <w:rsid w:val="000603CC"/>
    <w:rPr>
      <w:i/>
    </w:rPr>
  </w:style>
  <w:style w:type="paragraph" w:styleId="Caption">
    <w:name w:val="caption"/>
    <w:basedOn w:val="BodyText"/>
    <w:next w:val="Normal"/>
    <w:qFormat/>
    <w:rsid w:val="000603CC"/>
    <w:pPr>
      <w:framePr w:w="2268" w:hSpace="181" w:vSpace="181" w:wrap="around" w:vAnchor="text" w:hAnchor="page" w:x="1135" w:y="285" w:anchorLock="1"/>
    </w:pPr>
    <w:rPr>
      <w:i/>
    </w:rPr>
  </w:style>
  <w:style w:type="paragraph" w:customStyle="1" w:styleId="MiniTOCTitle">
    <w:name w:val="MiniTOCTitle"/>
    <w:basedOn w:val="Heading4"/>
    <w:rsid w:val="000603CC"/>
    <w:pPr>
      <w:spacing w:before="240"/>
      <w:outlineLvl w:val="9"/>
    </w:pPr>
    <w:rPr>
      <w:noProof/>
      <w:sz w:val="24"/>
    </w:rPr>
  </w:style>
  <w:style w:type="paragraph" w:customStyle="1" w:styleId="MiniTOCItem">
    <w:name w:val="MiniTOCItem"/>
    <w:basedOn w:val="ListBullet"/>
    <w:rsid w:val="000603CC"/>
    <w:pPr>
      <w:numPr>
        <w:numId w:val="0"/>
      </w:numPr>
      <w:tabs>
        <w:tab w:val="right" w:leader="dot" w:pos="6521"/>
      </w:tabs>
      <w:spacing w:before="0" w:after="0"/>
    </w:pPr>
  </w:style>
  <w:style w:type="paragraph" w:customStyle="1" w:styleId="TOFTitle">
    <w:name w:val="TOFTitle"/>
    <w:basedOn w:val="TOCTitle"/>
    <w:rsid w:val="000603CC"/>
  </w:style>
  <w:style w:type="paragraph" w:styleId="TableofFigures">
    <w:name w:val="table of figures"/>
    <w:basedOn w:val="Normal"/>
    <w:next w:val="Normal"/>
    <w:semiHidden/>
    <w:rsid w:val="000603CC"/>
    <w:pPr>
      <w:tabs>
        <w:tab w:val="right" w:leader="dot" w:pos="9072"/>
      </w:tabs>
      <w:ind w:left="970" w:hanging="403"/>
    </w:pPr>
    <w:rPr>
      <w:rFonts w:ascii="Times New Roman" w:hAnsi="Times New Roman"/>
      <w:b/>
    </w:rPr>
  </w:style>
  <w:style w:type="paragraph" w:styleId="ListNumber">
    <w:name w:val="List Number"/>
    <w:basedOn w:val="List"/>
    <w:rsid w:val="000603CC"/>
    <w:pPr>
      <w:numPr>
        <w:numId w:val="9"/>
      </w:numPr>
    </w:pPr>
  </w:style>
  <w:style w:type="character" w:customStyle="1" w:styleId="WingdingSymbols">
    <w:name w:val="Wingding Symbols"/>
    <w:rsid w:val="000603CC"/>
    <w:rPr>
      <w:rFonts w:ascii="Wingdings" w:hAnsi="Wingdings"/>
    </w:rPr>
  </w:style>
  <w:style w:type="paragraph" w:customStyle="1" w:styleId="TableHeading">
    <w:name w:val="Table Heading"/>
    <w:basedOn w:val="HeadingBase"/>
    <w:rsid w:val="000603CC"/>
    <w:pPr>
      <w:keepLines/>
      <w:pBdr>
        <w:bottom w:val="single" w:sz="6" w:space="1" w:color="918585"/>
      </w:pBdr>
      <w:spacing w:before="240"/>
    </w:pPr>
  </w:style>
  <w:style w:type="character" w:customStyle="1" w:styleId="HotSpot">
    <w:name w:val="HotSpot"/>
    <w:rsid w:val="000603CC"/>
    <w:rPr>
      <w:color w:val="0033CC"/>
      <w:u w:val="none"/>
    </w:rPr>
  </w:style>
  <w:style w:type="paragraph" w:customStyle="1" w:styleId="BodyTextRight">
    <w:name w:val="Body Text Right"/>
    <w:basedOn w:val="BodyText"/>
    <w:rsid w:val="000603CC"/>
    <w:pPr>
      <w:spacing w:before="0" w:after="0"/>
      <w:jc w:val="right"/>
    </w:pPr>
  </w:style>
  <w:style w:type="paragraph" w:styleId="Index3">
    <w:name w:val="index 3"/>
    <w:basedOn w:val="ListNumber2"/>
    <w:next w:val="Normal"/>
    <w:semiHidden/>
    <w:rsid w:val="000603CC"/>
    <w:pPr>
      <w:numPr>
        <w:numId w:val="0"/>
      </w:numPr>
      <w:tabs>
        <w:tab w:val="right" w:leader="dot" w:pos="4176"/>
      </w:tabs>
    </w:pPr>
  </w:style>
  <w:style w:type="paragraph" w:styleId="ListNumber2">
    <w:name w:val="List Number 2"/>
    <w:basedOn w:val="List2"/>
    <w:rsid w:val="000603CC"/>
    <w:pPr>
      <w:numPr>
        <w:numId w:val="8"/>
      </w:numPr>
      <w:tabs>
        <w:tab w:val="clear" w:pos="1060"/>
      </w:tabs>
    </w:pPr>
  </w:style>
  <w:style w:type="paragraph" w:customStyle="1" w:styleId="MarginNote">
    <w:name w:val="Margin Note"/>
    <w:basedOn w:val="BodyText"/>
    <w:rsid w:val="000603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03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03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03CC"/>
    <w:rPr>
      <w:sz w:val="32"/>
    </w:rPr>
  </w:style>
  <w:style w:type="paragraph" w:customStyle="1" w:styleId="HeadingProcedure">
    <w:name w:val="Heading Procedure"/>
    <w:basedOn w:val="HeadingBase"/>
    <w:next w:val="Normal"/>
    <w:rsid w:val="000603CC"/>
    <w:pPr>
      <w:tabs>
        <w:tab w:val="left" w:pos="0"/>
      </w:tabs>
      <w:spacing w:before="120" w:after="60"/>
    </w:pPr>
    <w:rPr>
      <w:i/>
      <w:color w:val="918585"/>
      <w:sz w:val="22"/>
    </w:rPr>
  </w:style>
  <w:style w:type="paragraph" w:customStyle="1" w:styleId="TableBodyText">
    <w:name w:val="Table Body Text"/>
    <w:basedOn w:val="BodyText"/>
    <w:rsid w:val="000603CC"/>
    <w:pPr>
      <w:spacing w:before="60" w:after="60"/>
    </w:pPr>
  </w:style>
  <w:style w:type="paragraph" w:styleId="ListContinue">
    <w:name w:val="List Continue"/>
    <w:basedOn w:val="List"/>
    <w:rsid w:val="000603CC"/>
    <w:pPr>
      <w:ind w:firstLine="0"/>
    </w:pPr>
  </w:style>
  <w:style w:type="paragraph" w:customStyle="1" w:styleId="ListNote">
    <w:name w:val="List Note"/>
    <w:basedOn w:val="List"/>
    <w:rsid w:val="000603CC"/>
    <w:pPr>
      <w:pBdr>
        <w:top w:val="single" w:sz="6" w:space="2" w:color="918585"/>
        <w:bottom w:val="single" w:sz="6" w:space="2" w:color="918585"/>
      </w:pBdr>
      <w:tabs>
        <w:tab w:val="left" w:pos="1021"/>
      </w:tabs>
      <w:ind w:firstLine="0"/>
    </w:pPr>
  </w:style>
  <w:style w:type="paragraph" w:customStyle="1" w:styleId="Warning">
    <w:name w:val="Warning"/>
    <w:basedOn w:val="BodyText"/>
    <w:rsid w:val="000603CC"/>
    <w:pPr>
      <w:shd w:val="clear" w:color="auto" w:fill="D9D9D9"/>
      <w:tabs>
        <w:tab w:val="left" w:pos="992"/>
      </w:tabs>
      <w:ind w:left="119" w:right="119"/>
    </w:pPr>
    <w:rPr>
      <w:sz w:val="20"/>
    </w:rPr>
  </w:style>
  <w:style w:type="paragraph" w:customStyle="1" w:styleId="MarginIcons">
    <w:name w:val="Margin Icons"/>
    <w:basedOn w:val="BodyText"/>
    <w:rsid w:val="000603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03CC"/>
    <w:rPr>
      <w:rFonts w:ascii="Courier New" w:hAnsi="Courier New"/>
    </w:rPr>
  </w:style>
  <w:style w:type="paragraph" w:customStyle="1" w:styleId="NoteBullet">
    <w:name w:val="Note Bullet"/>
    <w:basedOn w:val="Note"/>
    <w:rsid w:val="000603CC"/>
    <w:pPr>
      <w:tabs>
        <w:tab w:val="clear" w:pos="680"/>
      </w:tabs>
      <w:spacing w:before="60" w:after="60"/>
    </w:pPr>
  </w:style>
  <w:style w:type="paragraph" w:customStyle="1" w:styleId="SubHeading2">
    <w:name w:val="SubHeading2"/>
    <w:basedOn w:val="HeadingBase"/>
    <w:rsid w:val="000603CC"/>
    <w:pPr>
      <w:spacing w:before="240" w:after="60"/>
    </w:pPr>
    <w:rPr>
      <w:sz w:val="20"/>
    </w:rPr>
  </w:style>
  <w:style w:type="paragraph" w:customStyle="1" w:styleId="SubHeading1">
    <w:name w:val="SubHeading1"/>
    <w:basedOn w:val="HeadingBase"/>
    <w:rsid w:val="000603CC"/>
    <w:pPr>
      <w:spacing w:before="240" w:after="60"/>
    </w:pPr>
    <w:rPr>
      <w:color w:val="918585"/>
      <w:sz w:val="22"/>
    </w:rPr>
  </w:style>
  <w:style w:type="paragraph" w:customStyle="1" w:styleId="SideHeading">
    <w:name w:val="Side Heading"/>
    <w:basedOn w:val="HeadingBase"/>
    <w:rsid w:val="000603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03CC"/>
    <w:pPr>
      <w:numPr>
        <w:numId w:val="10"/>
      </w:numPr>
    </w:pPr>
  </w:style>
  <w:style w:type="paragraph" w:styleId="PlainText">
    <w:name w:val="Plain Text"/>
    <w:basedOn w:val="Normal"/>
    <w:link w:val="PlainTextChar"/>
    <w:rsid w:val="000603CC"/>
    <w:rPr>
      <w:sz w:val="20"/>
    </w:rPr>
  </w:style>
  <w:style w:type="character" w:customStyle="1" w:styleId="PlainTextChar">
    <w:name w:val="Plain Text Char"/>
    <w:basedOn w:val="DefaultParagraphFont"/>
    <w:link w:val="PlainText"/>
    <w:rsid w:val="000603CC"/>
    <w:rPr>
      <w:rFonts w:ascii="Courier New" w:eastAsia="Times New Roman" w:hAnsi="Courier New" w:cs="Times New Roman"/>
      <w:sz w:val="20"/>
      <w:szCs w:val="20"/>
      <w:lang w:eastAsia="en-US"/>
    </w:rPr>
  </w:style>
  <w:style w:type="character" w:customStyle="1" w:styleId="MenuOption">
    <w:name w:val="Menu Option"/>
    <w:basedOn w:val="DefaultParagraphFont"/>
    <w:rsid w:val="000603CC"/>
    <w:rPr>
      <w:b/>
      <w:smallCaps/>
    </w:rPr>
  </w:style>
  <w:style w:type="paragraph" w:customStyle="1" w:styleId="TableListNumber">
    <w:name w:val="Table List Number"/>
    <w:basedOn w:val="ListNumber"/>
    <w:rsid w:val="000603CC"/>
    <w:pPr>
      <w:numPr>
        <w:numId w:val="0"/>
      </w:numPr>
    </w:pPr>
  </w:style>
  <w:style w:type="paragraph" w:styleId="TOC4">
    <w:name w:val="toc 4"/>
    <w:basedOn w:val="TOCBase"/>
    <w:next w:val="Normal"/>
    <w:semiHidden/>
    <w:rsid w:val="000603CC"/>
    <w:pPr>
      <w:tabs>
        <w:tab w:val="right" w:leader="dot" w:pos="9071"/>
      </w:tabs>
      <w:ind w:left="1701"/>
    </w:pPr>
  </w:style>
  <w:style w:type="paragraph" w:customStyle="1" w:styleId="ListAlpha">
    <w:name w:val="List Alpha"/>
    <w:basedOn w:val="List"/>
    <w:rsid w:val="000603CC"/>
    <w:pPr>
      <w:numPr>
        <w:numId w:val="7"/>
      </w:numPr>
    </w:pPr>
  </w:style>
  <w:style w:type="paragraph" w:customStyle="1" w:styleId="ListAlpha2">
    <w:name w:val="List Alpha 2"/>
    <w:basedOn w:val="List2"/>
    <w:rsid w:val="000603CC"/>
    <w:pPr>
      <w:numPr>
        <w:numId w:val="6"/>
      </w:numPr>
    </w:pPr>
  </w:style>
  <w:style w:type="paragraph" w:styleId="List2">
    <w:name w:val="List 2"/>
    <w:basedOn w:val="BodyText"/>
    <w:rsid w:val="000603CC"/>
    <w:pPr>
      <w:tabs>
        <w:tab w:val="left" w:pos="680"/>
      </w:tabs>
      <w:spacing w:before="60" w:after="60"/>
      <w:ind w:left="680" w:hanging="340"/>
    </w:pPr>
  </w:style>
  <w:style w:type="paragraph" w:styleId="List3">
    <w:name w:val="List 3"/>
    <w:basedOn w:val="BodyText"/>
    <w:rsid w:val="000603CC"/>
    <w:pPr>
      <w:tabs>
        <w:tab w:val="left" w:pos="1021"/>
      </w:tabs>
      <w:spacing w:before="60" w:after="60"/>
      <w:ind w:left="1020" w:hanging="340"/>
    </w:pPr>
  </w:style>
  <w:style w:type="paragraph" w:styleId="List4">
    <w:name w:val="List 4"/>
    <w:basedOn w:val="BodyText"/>
    <w:rsid w:val="000603CC"/>
    <w:pPr>
      <w:tabs>
        <w:tab w:val="left" w:pos="1361"/>
      </w:tabs>
      <w:spacing w:before="60" w:after="60"/>
      <w:ind w:left="1361" w:hanging="340"/>
    </w:pPr>
  </w:style>
  <w:style w:type="paragraph" w:styleId="List5">
    <w:name w:val="List 5"/>
    <w:basedOn w:val="BodyText"/>
    <w:rsid w:val="000603CC"/>
    <w:pPr>
      <w:tabs>
        <w:tab w:val="left" w:pos="1701"/>
      </w:tabs>
      <w:spacing w:before="60" w:after="60"/>
      <w:ind w:left="1701" w:hanging="340"/>
    </w:pPr>
  </w:style>
  <w:style w:type="paragraph" w:styleId="ListBullet3">
    <w:name w:val="List Bullet 3"/>
    <w:basedOn w:val="List3"/>
    <w:rsid w:val="000603CC"/>
    <w:pPr>
      <w:numPr>
        <w:numId w:val="13"/>
      </w:numPr>
      <w:tabs>
        <w:tab w:val="clear" w:pos="1021"/>
      </w:tabs>
      <w:ind w:left="1037" w:hanging="357"/>
    </w:pPr>
  </w:style>
  <w:style w:type="paragraph" w:styleId="ListBullet4">
    <w:name w:val="List Bullet 4"/>
    <w:basedOn w:val="List4"/>
    <w:rsid w:val="000603CC"/>
    <w:pPr>
      <w:numPr>
        <w:numId w:val="1"/>
      </w:numPr>
      <w:tabs>
        <w:tab w:val="clear" w:pos="1361"/>
      </w:tabs>
    </w:pPr>
  </w:style>
  <w:style w:type="paragraph" w:styleId="ListBullet5">
    <w:name w:val="List Bullet 5"/>
    <w:basedOn w:val="List5"/>
    <w:rsid w:val="000603CC"/>
    <w:pPr>
      <w:numPr>
        <w:numId w:val="2"/>
      </w:numPr>
    </w:pPr>
  </w:style>
  <w:style w:type="paragraph" w:styleId="ListContinue2">
    <w:name w:val="List Continue 2"/>
    <w:basedOn w:val="List2"/>
    <w:rsid w:val="000603CC"/>
    <w:pPr>
      <w:ind w:firstLine="0"/>
    </w:pPr>
  </w:style>
  <w:style w:type="paragraph" w:styleId="ListContinue3">
    <w:name w:val="List Continue 3"/>
    <w:basedOn w:val="List3"/>
    <w:rsid w:val="000603CC"/>
    <w:pPr>
      <w:ind w:left="1021" w:firstLine="0"/>
    </w:pPr>
  </w:style>
  <w:style w:type="paragraph" w:styleId="ListContinue4">
    <w:name w:val="List Continue 4"/>
    <w:basedOn w:val="List4"/>
    <w:rsid w:val="000603CC"/>
    <w:pPr>
      <w:ind w:firstLine="0"/>
    </w:pPr>
  </w:style>
  <w:style w:type="paragraph" w:styleId="ListContinue5">
    <w:name w:val="List Continue 5"/>
    <w:basedOn w:val="List5"/>
    <w:rsid w:val="000603CC"/>
    <w:pPr>
      <w:ind w:firstLine="0"/>
    </w:pPr>
  </w:style>
  <w:style w:type="paragraph" w:styleId="ListNumber3">
    <w:name w:val="List Number 3"/>
    <w:basedOn w:val="List3"/>
    <w:rsid w:val="000603CC"/>
    <w:pPr>
      <w:numPr>
        <w:numId w:val="3"/>
      </w:numPr>
    </w:pPr>
  </w:style>
  <w:style w:type="paragraph" w:styleId="ListNumber4">
    <w:name w:val="List Number 4"/>
    <w:basedOn w:val="List4"/>
    <w:rsid w:val="000603CC"/>
    <w:pPr>
      <w:numPr>
        <w:numId w:val="4"/>
      </w:numPr>
    </w:pPr>
  </w:style>
  <w:style w:type="paragraph" w:styleId="ListNumber5">
    <w:name w:val="List Number 5"/>
    <w:basedOn w:val="List5"/>
    <w:rsid w:val="000603CC"/>
    <w:pPr>
      <w:numPr>
        <w:numId w:val="5"/>
      </w:numPr>
    </w:pPr>
  </w:style>
  <w:style w:type="paragraph" w:styleId="BlockText">
    <w:name w:val="Block Text"/>
    <w:basedOn w:val="Normal"/>
    <w:rsid w:val="000603CC"/>
    <w:pPr>
      <w:spacing w:after="120"/>
      <w:ind w:left="1440" w:right="1440"/>
    </w:pPr>
  </w:style>
  <w:style w:type="character" w:customStyle="1" w:styleId="Subscript">
    <w:name w:val="Subscript"/>
    <w:basedOn w:val="DefaultParagraphFont"/>
    <w:rsid w:val="000603CC"/>
    <w:rPr>
      <w:sz w:val="16"/>
      <w:vertAlign w:val="subscript"/>
    </w:rPr>
  </w:style>
  <w:style w:type="character" w:customStyle="1" w:styleId="Superscript">
    <w:name w:val="Superscript"/>
    <w:basedOn w:val="DefaultParagraphFont"/>
    <w:rsid w:val="000603CC"/>
    <w:rPr>
      <w:sz w:val="16"/>
      <w:vertAlign w:val="superscript"/>
    </w:rPr>
  </w:style>
  <w:style w:type="character" w:customStyle="1" w:styleId="Symbols">
    <w:name w:val="Symbols"/>
    <w:basedOn w:val="DefaultParagraphFont"/>
    <w:rsid w:val="000603CC"/>
    <w:rPr>
      <w:rFonts w:ascii="Symbol" w:hAnsi="Symbol"/>
    </w:rPr>
  </w:style>
  <w:style w:type="character" w:customStyle="1" w:styleId="MenuOptions">
    <w:name w:val="Menu Options"/>
    <w:basedOn w:val="DefaultParagraphFont"/>
    <w:rsid w:val="000603CC"/>
    <w:rPr>
      <w:rFonts w:ascii="Arial Narrow" w:hAnsi="Arial Narrow"/>
      <w:smallCaps/>
    </w:rPr>
  </w:style>
  <w:style w:type="character" w:customStyle="1" w:styleId="Buttons">
    <w:name w:val="Buttons"/>
    <w:basedOn w:val="DefaultParagraphFont"/>
    <w:rsid w:val="000603CC"/>
    <w:rPr>
      <w:b/>
    </w:rPr>
  </w:style>
  <w:style w:type="character" w:customStyle="1" w:styleId="Underlined">
    <w:name w:val="Underlined"/>
    <w:basedOn w:val="DefaultParagraphFont"/>
    <w:rsid w:val="000603CC"/>
    <w:rPr>
      <w:u w:val="single"/>
    </w:rPr>
  </w:style>
  <w:style w:type="paragraph" w:customStyle="1" w:styleId="TableBodyTextRight">
    <w:name w:val="Table Body Text Right"/>
    <w:basedOn w:val="TableBodyText"/>
    <w:rsid w:val="000603CC"/>
    <w:pPr>
      <w:widowControl w:val="0"/>
      <w:autoSpaceDE w:val="0"/>
      <w:autoSpaceDN w:val="0"/>
      <w:adjustRightInd w:val="0"/>
      <w:jc w:val="right"/>
    </w:pPr>
    <w:rPr>
      <w:rFonts w:cs="Arial"/>
      <w:szCs w:val="18"/>
    </w:rPr>
  </w:style>
  <w:style w:type="paragraph" w:customStyle="1" w:styleId="CopyrightText">
    <w:name w:val="Copyright Text"/>
    <w:basedOn w:val="BodyText"/>
    <w:rsid w:val="000603CC"/>
    <w:rPr>
      <w:sz w:val="18"/>
    </w:rPr>
  </w:style>
  <w:style w:type="paragraph" w:customStyle="1" w:styleId="BodySmallRight">
    <w:name w:val="Body Small Right"/>
    <w:basedOn w:val="BodyTextRight"/>
    <w:rsid w:val="000603CC"/>
    <w:rPr>
      <w:sz w:val="18"/>
      <w:szCs w:val="18"/>
    </w:rPr>
  </w:style>
  <w:style w:type="paragraph" w:customStyle="1" w:styleId="MarginEdition">
    <w:name w:val="Margin Edition"/>
    <w:basedOn w:val="MarginNote"/>
    <w:rsid w:val="000603CC"/>
    <w:pPr>
      <w:spacing w:before="0" w:after="0"/>
    </w:pPr>
    <w:rPr>
      <w:rFonts w:ascii="Times New Roman" w:hAnsi="Times New Roman"/>
      <w:color w:val="999999"/>
    </w:rPr>
  </w:style>
  <w:style w:type="paragraph" w:customStyle="1" w:styleId="Spacer">
    <w:name w:val="Spacer"/>
    <w:basedOn w:val="Normal"/>
    <w:rsid w:val="000603CC"/>
    <w:rPr>
      <w:sz w:val="2"/>
      <w:szCs w:val="2"/>
    </w:rPr>
  </w:style>
  <w:style w:type="character" w:customStyle="1" w:styleId="Small">
    <w:name w:val="Small"/>
    <w:basedOn w:val="DefaultParagraphFont"/>
    <w:rsid w:val="000603CC"/>
    <w:rPr>
      <w:sz w:val="16"/>
    </w:rPr>
  </w:style>
  <w:style w:type="paragraph" w:customStyle="1" w:styleId="WideTable">
    <w:name w:val="Wide Table"/>
    <w:basedOn w:val="Normal"/>
    <w:rsid w:val="000603CC"/>
    <w:pPr>
      <w:ind w:left="-1418"/>
    </w:pPr>
    <w:rPr>
      <w:sz w:val="2"/>
      <w:szCs w:val="2"/>
    </w:rPr>
  </w:style>
  <w:style w:type="character" w:styleId="PageNumber">
    <w:name w:val="page number"/>
    <w:basedOn w:val="DefaultParagraphFont"/>
    <w:rsid w:val="000603CC"/>
  </w:style>
  <w:style w:type="paragraph" w:styleId="Quote">
    <w:name w:val="Quote"/>
    <w:basedOn w:val="Heading1"/>
    <w:link w:val="QuoteChar"/>
    <w:qFormat/>
    <w:rsid w:val="000603CC"/>
    <w:rPr>
      <w:b w:val="0"/>
      <w:sz w:val="72"/>
      <w:szCs w:val="72"/>
      <w:lang w:val="en-NZ"/>
    </w:rPr>
  </w:style>
  <w:style w:type="character" w:customStyle="1" w:styleId="QuoteChar">
    <w:name w:val="Quote Char"/>
    <w:basedOn w:val="DefaultParagraphFont"/>
    <w:link w:val="Quote"/>
    <w:rsid w:val="000603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03CC"/>
    <w:pPr>
      <w:pageBreakBefore/>
    </w:pPr>
  </w:style>
  <w:style w:type="paragraph" w:customStyle="1" w:styleId="Border">
    <w:name w:val="Border"/>
    <w:basedOn w:val="Normal"/>
    <w:qFormat/>
    <w:rsid w:val="000603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03CC"/>
    <w:rPr>
      <w:b/>
      <w:bCs/>
      <w:i/>
      <w:iCs/>
      <w:color w:val="auto"/>
    </w:rPr>
  </w:style>
  <w:style w:type="paragraph" w:styleId="IntenseQuote">
    <w:name w:val="Intense Quote"/>
    <w:basedOn w:val="Normal"/>
    <w:next w:val="Normal"/>
    <w:link w:val="IntenseQuoteChar"/>
    <w:uiPriority w:val="30"/>
    <w:qFormat/>
    <w:rsid w:val="000603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03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03CC"/>
    <w:rPr>
      <w:smallCaps/>
      <w:color w:val="auto"/>
      <w:u w:val="single"/>
    </w:rPr>
  </w:style>
  <w:style w:type="character" w:styleId="IntenseReference">
    <w:name w:val="Intense Reference"/>
    <w:basedOn w:val="DefaultParagraphFont"/>
    <w:uiPriority w:val="32"/>
    <w:qFormat/>
    <w:rsid w:val="000603CC"/>
    <w:rPr>
      <w:b/>
      <w:bCs/>
      <w:smallCaps/>
      <w:color w:val="auto"/>
      <w:spacing w:val="5"/>
      <w:u w:val="single"/>
    </w:rPr>
  </w:style>
  <w:style w:type="paragraph" w:customStyle="1" w:styleId="2ColumnHeading">
    <w:name w:val="2Column Heading"/>
    <w:basedOn w:val="BodyText"/>
    <w:qFormat/>
    <w:rsid w:val="000603CC"/>
    <w:pPr>
      <w:spacing w:after="60"/>
      <w:ind w:left="-2268"/>
    </w:pPr>
    <w:rPr>
      <w:b/>
    </w:rPr>
  </w:style>
  <w:style w:type="paragraph" w:customStyle="1" w:styleId="Heading1TOC">
    <w:name w:val="Heading1 TOC"/>
    <w:basedOn w:val="Normal"/>
    <w:qFormat/>
    <w:rsid w:val="000603CC"/>
    <w:pPr>
      <w:spacing w:before="240" w:after="120"/>
    </w:pPr>
    <w:rPr>
      <w:rFonts w:ascii="Times New Roman" w:hAnsi="Times New Roman"/>
      <w:b/>
      <w:sz w:val="32"/>
    </w:rPr>
  </w:style>
  <w:style w:type="paragraph" w:customStyle="1" w:styleId="Heading2TOC">
    <w:name w:val="Heading2 TOC"/>
    <w:basedOn w:val="Normal"/>
    <w:qFormat/>
    <w:rsid w:val="000603CC"/>
    <w:pPr>
      <w:spacing w:before="240" w:after="60"/>
    </w:pPr>
    <w:rPr>
      <w:rFonts w:ascii="Times New Roman" w:hAnsi="Times New Roman"/>
      <w:b/>
      <w:sz w:val="28"/>
    </w:rPr>
  </w:style>
  <w:style w:type="character" w:customStyle="1" w:styleId="Underline">
    <w:name w:val="Underline"/>
    <w:basedOn w:val="DefaultParagraphFont"/>
    <w:qFormat/>
    <w:rsid w:val="000603CC"/>
    <w:rPr>
      <w:u w:val="single"/>
    </w:rPr>
  </w:style>
  <w:style w:type="character" w:customStyle="1" w:styleId="BoldandItalics">
    <w:name w:val="Bold and Italics"/>
    <w:qFormat/>
    <w:rsid w:val="000603CC"/>
    <w:rPr>
      <w:b/>
      <w:i/>
      <w:u w:val="none"/>
    </w:rPr>
  </w:style>
  <w:style w:type="paragraph" w:styleId="BalloonText">
    <w:name w:val="Balloon Text"/>
    <w:basedOn w:val="Normal"/>
    <w:link w:val="BalloonTextChar"/>
    <w:rsid w:val="000603CC"/>
    <w:rPr>
      <w:rFonts w:ascii="Tahoma" w:hAnsi="Tahoma" w:cs="Tahoma"/>
      <w:sz w:val="16"/>
      <w:szCs w:val="16"/>
    </w:rPr>
  </w:style>
  <w:style w:type="character" w:customStyle="1" w:styleId="BalloonTextChar">
    <w:name w:val="Balloon Text Char"/>
    <w:basedOn w:val="DefaultParagraphFont"/>
    <w:link w:val="BalloonText"/>
    <w:rsid w:val="000603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03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03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03CC"/>
    <w:rPr>
      <w:b/>
      <w:color w:val="660033"/>
      <w:spacing w:val="0"/>
    </w:rPr>
  </w:style>
  <w:style w:type="paragraph" w:customStyle="1" w:styleId="Nameditemlist">
    <w:name w:val="Named item list"/>
    <w:basedOn w:val="BodyText"/>
    <w:qFormat/>
    <w:rsid w:val="000603CC"/>
    <w:pPr>
      <w:tabs>
        <w:tab w:val="left" w:pos="2835"/>
      </w:tabs>
      <w:ind w:left="2835" w:hanging="2835"/>
    </w:pPr>
  </w:style>
  <w:style w:type="paragraph" w:customStyle="1" w:styleId="BodyTextnopadding">
    <w:name w:val="Body Text no padding"/>
    <w:basedOn w:val="BodyText"/>
    <w:qFormat/>
    <w:rsid w:val="000603CC"/>
    <w:pPr>
      <w:spacing w:before="0" w:after="0"/>
    </w:pPr>
  </w:style>
  <w:style w:type="character" w:styleId="Hyperlink">
    <w:name w:val="Hyperlink"/>
    <w:basedOn w:val="DefaultParagraphFont"/>
    <w:uiPriority w:val="99"/>
    <w:unhideWhenUsed/>
    <w:rsid w:val="000F27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664</Words>
  <Characters>4089</Characters>
  <Application>Microsoft Office Word</Application>
  <DocSecurity>0</DocSecurity>
  <Lines>170</Lines>
  <Paragraphs>95</Paragraphs>
  <ScaleCrop>false</ScaleCrop>
  <Company>Author-it Software Corporation Ltd.</Company>
  <LinksUpToDate>false</LinksUpToDate>
  <CharactersWithSpaces>4658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AVIY5035 Conduct a 2D very high frequency omni-directional radio range instrument approach</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2019-01-31T04:19:00Z</dcterms:created>
  <dcterms:modified xsi:type="dcterms:W3CDTF">2019-01-31T04:19:00Z</dcterms:modified>
</cp:coreProperties>
</file>