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24E" w:rsidP="00BF6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AVIY0079 Conduct a 3D instrument landing system instrument approach</w:t>
      </w:r>
      <w:r>
        <w:fldChar w:fldCharType="end"/>
      </w:r>
    </w:p>
    <w:p w:rsidR="00BF624E" w:rsidP="00BF624E">
      <w:pPr>
        <w:pStyle w:val="Version"/>
        <w:sectPr w:rsidSect="00A06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0EC" w:rsidP="00A060EC">
      <w:pPr>
        <w:pStyle w:val="SuperHeading"/>
      </w:pPr>
      <w:r w:rsidRPr="00A060EC">
        <w:t>AVIY0079 Conduct a 3D instrument landing system instrument approach</w:t>
      </w:r>
    </w:p>
    <w:p w:rsidR="00000000" w:rsidRPr="00A060EC" w:rsidP="00A060EC">
      <w:pPr>
        <w:pStyle w:val="Heading1"/>
      </w:pPr>
      <w:bookmarkStart w:id="1" w:name="O_1028996"/>
      <w:bookmarkEnd w:id="1"/>
      <w:r w:rsidRPr="00A060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Release 1. This is the first release of this unit of competency in the AVI Aviation Training Package.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2" w:name="O_1028997"/>
      <w:bookmarkEnd w:id="2"/>
      <w:r w:rsidRPr="00A060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This unit involves the skills and knowledge required to conduct a 3D instrument approach using instrument landing system (ILS) procedures in compliance with relevant regulatory requirements of the Civil Aviation Safety Authority (CASA) and national operati</w:t>
            </w:r>
            <w:r w:rsidRPr="00A060EC">
              <w:t>ng standards.</w:t>
            </w:r>
          </w:p>
          <w:p w:rsidR="00000000" w:rsidRPr="00A060EC" w:rsidP="00A060EC">
            <w:pPr>
              <w:pStyle w:val="BodyText"/>
            </w:pPr>
            <w:r w:rsidRPr="00A060EC">
              <w:t>It includes selecting and preparing for approach, and monitoring aid signal integrity. It also includes conducting initial approach, holding pattern, approach and missed approach procedures.</w:t>
            </w:r>
          </w:p>
          <w:p w:rsidR="00000000" w:rsidRPr="00A060EC" w:rsidP="00A060EC">
            <w:pPr>
              <w:pStyle w:val="BodyText"/>
            </w:pPr>
            <w:r w:rsidRPr="00A060EC">
              <w:t>This unit addresses aviation technical skill requir</w:t>
            </w:r>
            <w:r w:rsidRPr="00A060EC">
              <w:t>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A060EC" w:rsidP="00A060EC">
            <w:pPr>
              <w:pStyle w:val="BodyText"/>
            </w:pPr>
            <w:r w:rsidRPr="00A060EC">
              <w:t>Operations are conducted as part of commercial and</w:t>
            </w:r>
            <w:r w:rsidRPr="00A060EC">
              <w:t xml:space="preserve"> military aircraft activities across a variety of operational contexts within the Australian aviation industry.</w:t>
            </w:r>
          </w:p>
          <w:p w:rsidR="00000000" w:rsidRPr="00A060EC" w:rsidP="00A060EC">
            <w:pPr>
              <w:pStyle w:val="BodyText"/>
            </w:pPr>
            <w:r w:rsidRPr="00A060EC">
              <w:t>Work is performed independently or under limited supervision within a single-pilot or multi-crew environment.</w:t>
            </w:r>
          </w:p>
          <w:p w:rsidR="00000000" w:rsidRPr="00A060EC" w:rsidP="00A060EC">
            <w:pPr>
              <w:pStyle w:val="BodyText"/>
            </w:pPr>
            <w:r w:rsidRPr="00A060EC">
              <w:t>Licensing, legislative, regulatory</w:t>
            </w:r>
            <w:r w:rsidRPr="00A060EC">
              <w:t xml:space="preserve"> or certification requirements are applicable to this unit.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3" w:name="O_1028998"/>
      <w:bookmarkEnd w:id="3"/>
      <w:r w:rsidRPr="00A060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Not applicable.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4" w:name="O_1028999"/>
      <w:bookmarkEnd w:id="4"/>
      <w:r w:rsidRPr="00A060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Y – Aircraft Operation and Traffic Management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5" w:name="O_1029000"/>
      <w:bookmarkEnd w:id="5"/>
      <w:r w:rsidRPr="00A060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Not applicable.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6" w:name="O_1029001"/>
      <w:bookmarkEnd w:id="6"/>
      <w:r w:rsidRPr="00A060E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PERFORMANCE CRITERIA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Performance criteria describe the performance needed to demonstrate achievement of the element.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Select and prepare for the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Current instrument approach and landing (IAL) chart for the ILS approach to be flown is selected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Navigation system validity and receiver autonomous integrity monitoring (RAIM)/space-based augmentation system (</w:t>
            </w:r>
            <w:r w:rsidRPr="00A060EC">
              <w:t>SBAS) checks are conducted as required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Instrument approach and missed approach procedure is planned and self-briefed or briefed to flight crew as required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Direct entry to the approach is reviewed, briefed to flight crew and evaluated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Entry via holding pattern is reviewed, briefed to flight crew and evaluated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Minimum altitude, lowest safe altitude (LSALT) or minimum safe altitude (MSA) prior to approach entry is reviewed and briefed to flight crew in relation to tracks, distances</w:t>
            </w:r>
            <w:r w:rsidRPr="00A060EC">
              <w:t>, timing and descent limitations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Applicable approach minima for aircraft performance category and runway to be used is selected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Pressure error correction for decision altitude (DA) is selected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Holding or diversion action if visual reference is not established, is reviewed and briefed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Fuel availability and latest divert time is selected as required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Aircraft systems are configured for approach and altimeter is set to appropriate QN</w:t>
            </w:r>
            <w:r w:rsidRPr="00A060EC">
              <w:t>H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Monitor aid signal integrity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ILS to be used for selected approach is tuned and identified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Warning flags and c</w:t>
            </w:r>
            <w:r w:rsidRPr="00A060EC">
              <w:t>ourse deviation indicators (CDI) for localiser (LLZ) and glide slope is monitored throughout the approach to ensure signal integrity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Locator beacons for approach are tuned and identified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Marker beacon/s are tested and monitored for visual and</w:t>
            </w:r>
            <w:r w:rsidRPr="00A060EC">
              <w:t xml:space="preserve"> aural indications during approach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Distance measuring equipment (DME) is tuned and identified or global navigation satellite system (GNSS) is configured for ILS approach as required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DME/GNSS is monitored for distance indications during applicable approach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Conduct initial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Altimeter is set to appropriate QNH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Holding fix is identified and aircraft is manoeuvred to appropriate sector entry position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Conduct holdin</w:t>
            </w:r>
            <w:r w:rsidRPr="00A060EC">
              <w:rPr>
                <w:rStyle w:val="SpecialBold"/>
              </w:rPr>
              <w:t>g pattern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Holding pattern at or above LSALT or MSA is entered in accordance with specified sector entry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Holding pattern is performed in accordance with instructions in aeronautical information publication (AIP), using the LLZ and any other navigation aids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Conduct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Aircraft is tracked to initial approach fix using appropriate tracking</w:t>
            </w:r>
            <w:r w:rsidRPr="00A060EC">
              <w:t xml:space="preserve"> aids or radar vectors at or above route MSA or LSALT, to intercept the LLZ track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ILS approach is conducted from initial approach fix with tracking by reference to LLZ and descent by reference to glide path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Marker beacons, DME/GNSS or approve</w:t>
            </w:r>
            <w:r w:rsidRPr="00A060EC">
              <w:t>d alternative fix are used to provide distance indications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Specified altitude check on glide slope is performed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Continued descent on glide slope to the DA is performed in accordance with AIP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Landing runway is identified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Runway or circling approach for a landing is conducted in accordance with AIP after visual reference is established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rPr>
                <w:rStyle w:val="SpecialBold"/>
              </w:rPr>
              <w:t>Conduct missed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Conditions requiring a missed approach are recognised and missed approach is initiated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Aircraft is manoeuvred to missed approach point (MAPt)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t>Missed approach procedure is conducted in accordance with the IAL chart</w:t>
            </w:r>
          </w:p>
        </w:tc>
      </w:tr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EC">
            <w:pPr>
              <w:pStyle w:val="BodyText"/>
              <w:rPr>
                <w:lang w:val="en-NZ"/>
              </w:rPr>
            </w:pPr>
            <w:r w:rsidRPr="00A060EC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Obstacle clearance in IMC is maintained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7" w:name="O_1029002"/>
      <w:bookmarkEnd w:id="7"/>
      <w:r w:rsidRPr="00A060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Foundation skills essential to perfo</w:t>
            </w:r>
            <w:r w:rsidRPr="00A060EC">
              <w:t>rmance are explicit in the performance criteria of this unit of competency.</w:t>
            </w:r>
          </w:p>
        </w:tc>
      </w:tr>
    </w:tbl>
    <w:p w:rsidR="00000000" w:rsidRPr="00A060EC" w:rsidP="00A060EC">
      <w:pPr>
        <w:pStyle w:val="BodyText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8" w:name="O_1029003"/>
      <w:bookmarkEnd w:id="8"/>
      <w:r w:rsidRPr="00A060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Range is restricted to essential operating conditions and any other variables essential to the work environment.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9" w:name="O_1029004"/>
      <w:bookmarkEnd w:id="9"/>
      <w:r w:rsidRPr="00A060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6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EC" w:rsidP="00A060EC">
            <w:pPr>
              <w:pStyle w:val="BodyText"/>
            </w:pPr>
            <w:r w:rsidRPr="00A060EC">
              <w:t>This unit replaces and is equivalent to AVIY5036A Perform instrument landing system (ILS) instrument approach.</w:t>
            </w:r>
          </w:p>
        </w:tc>
      </w:tr>
    </w:tbl>
    <w:p w:rsidR="00000000" w:rsidRPr="00A060EC" w:rsidP="00A060EC">
      <w:pPr>
        <w:pStyle w:val="NoPaddingFontSize1"/>
      </w:pPr>
    </w:p>
    <w:p w:rsidR="00000000" w:rsidRPr="00A060EC" w:rsidP="00A060EC">
      <w:pPr>
        <w:pStyle w:val="AllowPageBreak"/>
      </w:pPr>
    </w:p>
    <w:p w:rsidR="00000000" w:rsidRPr="00A060EC" w:rsidP="00A060EC">
      <w:pPr>
        <w:pStyle w:val="Heading1"/>
      </w:pPr>
      <w:bookmarkStart w:id="10" w:name="O_1029011"/>
      <w:bookmarkEnd w:id="10"/>
      <w:r w:rsidRPr="00A060EC">
        <w:t>Links</w:t>
      </w:r>
    </w:p>
    <w:p w:rsidR="00000000" w:rsidRPr="00A060EC" w:rsidP="00BF624E">
      <w:pPr>
        <w:pStyle w:val="BodyText"/>
      </w:pPr>
      <w:r w:rsidRPr="00A060E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3573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060EC" w:rsidP="00A060EC"/>
    <w:sectPr w:rsidSect="00A060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EC" w:rsidRPr="00BF624E" w:rsidP="00BF6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24E" w:rsidP="00A06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24E" w:rsidP="00A06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624E" w:rsidP="00A06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0EC" w:rsidRPr="00BF624E" w:rsidP="00BF6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24E" w:rsidRPr="002D2AF8" w:rsidP="00A06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AVIY0079 Conduct a 3D instrument landing system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F624E" w:rsidP="00A06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0EC"/>
  </w:style>
  <w:style w:type="character" w:customStyle="1" w:styleId="Heading1Char">
    <w:name w:val="Heading 1 Char"/>
    <w:basedOn w:val="DefaultParagraphFont"/>
    <w:link w:val="Heading1"/>
    <w:rsid w:val="00A06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0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60EC"/>
    <w:rPr>
      <w:b/>
      <w:spacing w:val="0"/>
    </w:rPr>
  </w:style>
  <w:style w:type="paragraph" w:customStyle="1" w:styleId="SuperHeading">
    <w:name w:val="SuperHeading"/>
    <w:basedOn w:val="Normal"/>
    <w:rsid w:val="00A06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6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0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0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6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0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0EC"/>
    <w:rPr>
      <w:i/>
    </w:rPr>
  </w:style>
  <w:style w:type="paragraph" w:styleId="Caption">
    <w:name w:val="caption"/>
    <w:basedOn w:val="BodyText"/>
    <w:next w:val="Normal"/>
    <w:qFormat/>
    <w:rsid w:val="00A06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0EC"/>
  </w:style>
  <w:style w:type="paragraph" w:styleId="TableofFigures">
    <w:name w:val="table of figures"/>
    <w:basedOn w:val="Normal"/>
    <w:next w:val="Normal"/>
    <w:semiHidden/>
    <w:rsid w:val="00A06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0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60EC"/>
    <w:rPr>
      <w:rFonts w:ascii="Wingdings" w:hAnsi="Wingdings"/>
    </w:rPr>
  </w:style>
  <w:style w:type="paragraph" w:customStyle="1" w:styleId="TableHeading">
    <w:name w:val="Table Heading"/>
    <w:basedOn w:val="HeadingBase"/>
    <w:rsid w:val="00A06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0EC"/>
    <w:rPr>
      <w:color w:val="0033CC"/>
      <w:u w:val="none"/>
    </w:rPr>
  </w:style>
  <w:style w:type="paragraph" w:customStyle="1" w:styleId="BodyTextRight">
    <w:name w:val="Body Text Right"/>
    <w:basedOn w:val="BodyText"/>
    <w:rsid w:val="00A06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0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0EC"/>
    <w:rPr>
      <w:sz w:val="32"/>
    </w:rPr>
  </w:style>
  <w:style w:type="paragraph" w:customStyle="1" w:styleId="HeadingProcedure">
    <w:name w:val="Heading Procedure"/>
    <w:basedOn w:val="HeadingBase"/>
    <w:next w:val="Normal"/>
    <w:rsid w:val="00A06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0EC"/>
    <w:pPr>
      <w:spacing w:before="60" w:after="60"/>
    </w:pPr>
  </w:style>
  <w:style w:type="paragraph" w:styleId="ListContinue">
    <w:name w:val="List Continue"/>
    <w:basedOn w:val="List"/>
    <w:rsid w:val="00A060EC"/>
    <w:pPr>
      <w:ind w:firstLine="0"/>
    </w:pPr>
  </w:style>
  <w:style w:type="paragraph" w:customStyle="1" w:styleId="ListNote">
    <w:name w:val="List Note"/>
    <w:basedOn w:val="List"/>
    <w:rsid w:val="00A06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0EC"/>
    <w:rPr>
      <w:rFonts w:ascii="Courier New" w:hAnsi="Courier New"/>
    </w:rPr>
  </w:style>
  <w:style w:type="paragraph" w:customStyle="1" w:styleId="NoteBullet">
    <w:name w:val="Note Bullet"/>
    <w:basedOn w:val="Note"/>
    <w:rsid w:val="00A06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0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6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0EC"/>
    <w:rPr>
      <w:b/>
      <w:smallCaps/>
    </w:rPr>
  </w:style>
  <w:style w:type="paragraph" w:customStyle="1" w:styleId="TableListNumber">
    <w:name w:val="Table List Number"/>
    <w:basedOn w:val="ListNumber"/>
    <w:rsid w:val="00A06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0EC"/>
    <w:pPr>
      <w:numPr>
        <w:numId w:val="7"/>
      </w:numPr>
    </w:pPr>
  </w:style>
  <w:style w:type="paragraph" w:customStyle="1" w:styleId="ListAlpha2">
    <w:name w:val="List Alpha 2"/>
    <w:basedOn w:val="List2"/>
    <w:rsid w:val="00A060EC"/>
    <w:pPr>
      <w:numPr>
        <w:numId w:val="6"/>
      </w:numPr>
    </w:pPr>
  </w:style>
  <w:style w:type="paragraph" w:styleId="List2">
    <w:name w:val="List 2"/>
    <w:basedOn w:val="BodyText"/>
    <w:rsid w:val="00A06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0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0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60EC"/>
    <w:pPr>
      <w:numPr>
        <w:numId w:val="2"/>
      </w:numPr>
    </w:pPr>
  </w:style>
  <w:style w:type="paragraph" w:styleId="ListContinue2">
    <w:name w:val="List Continue 2"/>
    <w:basedOn w:val="List2"/>
    <w:rsid w:val="00A060EC"/>
    <w:pPr>
      <w:ind w:firstLine="0"/>
    </w:pPr>
  </w:style>
  <w:style w:type="paragraph" w:styleId="ListContinue3">
    <w:name w:val="List Continue 3"/>
    <w:basedOn w:val="List3"/>
    <w:rsid w:val="00A060EC"/>
    <w:pPr>
      <w:ind w:left="1021" w:firstLine="0"/>
    </w:pPr>
  </w:style>
  <w:style w:type="paragraph" w:styleId="ListContinue4">
    <w:name w:val="List Continue 4"/>
    <w:basedOn w:val="List4"/>
    <w:rsid w:val="00A060EC"/>
    <w:pPr>
      <w:ind w:firstLine="0"/>
    </w:pPr>
  </w:style>
  <w:style w:type="paragraph" w:styleId="ListContinue5">
    <w:name w:val="List Continue 5"/>
    <w:basedOn w:val="List5"/>
    <w:rsid w:val="00A060EC"/>
    <w:pPr>
      <w:ind w:firstLine="0"/>
    </w:pPr>
  </w:style>
  <w:style w:type="paragraph" w:styleId="ListNumber3">
    <w:name w:val="List Number 3"/>
    <w:basedOn w:val="List3"/>
    <w:rsid w:val="00A060EC"/>
    <w:pPr>
      <w:numPr>
        <w:numId w:val="3"/>
      </w:numPr>
    </w:pPr>
  </w:style>
  <w:style w:type="paragraph" w:styleId="ListNumber4">
    <w:name w:val="List Number 4"/>
    <w:basedOn w:val="List4"/>
    <w:rsid w:val="00A060EC"/>
    <w:pPr>
      <w:numPr>
        <w:numId w:val="4"/>
      </w:numPr>
    </w:pPr>
  </w:style>
  <w:style w:type="paragraph" w:styleId="ListNumber5">
    <w:name w:val="List Number 5"/>
    <w:basedOn w:val="List5"/>
    <w:rsid w:val="00A060EC"/>
    <w:pPr>
      <w:numPr>
        <w:numId w:val="5"/>
      </w:numPr>
    </w:pPr>
  </w:style>
  <w:style w:type="paragraph" w:styleId="BlockText">
    <w:name w:val="Block Text"/>
    <w:basedOn w:val="Normal"/>
    <w:rsid w:val="00A06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0EC"/>
    <w:rPr>
      <w:sz w:val="16"/>
      <w:vertAlign w:val="superscript"/>
    </w:rPr>
  </w:style>
  <w:style w:type="character" w:customStyle="1" w:styleId="Symbols">
    <w:name w:val="Symbols"/>
    <w:basedOn w:val="DefaultParagraphFont"/>
    <w:rsid w:val="00A060EC"/>
    <w:rPr>
      <w:rFonts w:ascii="Symbol" w:hAnsi="Symbol"/>
    </w:rPr>
  </w:style>
  <w:style w:type="character" w:customStyle="1" w:styleId="MenuOptions">
    <w:name w:val="Menu Options"/>
    <w:basedOn w:val="DefaultParagraphFont"/>
    <w:rsid w:val="00A06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0EC"/>
    <w:rPr>
      <w:b/>
    </w:rPr>
  </w:style>
  <w:style w:type="character" w:customStyle="1" w:styleId="Underlined">
    <w:name w:val="Underlined"/>
    <w:basedOn w:val="DefaultParagraphFont"/>
    <w:rsid w:val="00A060EC"/>
    <w:rPr>
      <w:u w:val="single"/>
    </w:rPr>
  </w:style>
  <w:style w:type="paragraph" w:customStyle="1" w:styleId="TableBodyTextRight">
    <w:name w:val="Table Body Text Right"/>
    <w:basedOn w:val="TableBodyText"/>
    <w:rsid w:val="00A06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0EC"/>
    <w:rPr>
      <w:sz w:val="18"/>
    </w:rPr>
  </w:style>
  <w:style w:type="paragraph" w:customStyle="1" w:styleId="BodySmallRight">
    <w:name w:val="Body Small Right"/>
    <w:basedOn w:val="BodyTextRight"/>
    <w:rsid w:val="00A060EC"/>
    <w:rPr>
      <w:sz w:val="18"/>
      <w:szCs w:val="18"/>
    </w:rPr>
  </w:style>
  <w:style w:type="paragraph" w:customStyle="1" w:styleId="MarginEdition">
    <w:name w:val="Margin Edition"/>
    <w:basedOn w:val="MarginNote"/>
    <w:rsid w:val="00A06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0EC"/>
    <w:rPr>
      <w:sz w:val="2"/>
      <w:szCs w:val="2"/>
    </w:rPr>
  </w:style>
  <w:style w:type="character" w:customStyle="1" w:styleId="Small">
    <w:name w:val="Small"/>
    <w:basedOn w:val="DefaultParagraphFont"/>
    <w:rsid w:val="00A060EC"/>
    <w:rPr>
      <w:sz w:val="16"/>
    </w:rPr>
  </w:style>
  <w:style w:type="paragraph" w:customStyle="1" w:styleId="WideTable">
    <w:name w:val="Wide Table"/>
    <w:basedOn w:val="Normal"/>
    <w:rsid w:val="00A06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0EC"/>
  </w:style>
  <w:style w:type="paragraph" w:styleId="Quote">
    <w:name w:val="Quote"/>
    <w:basedOn w:val="Heading1"/>
    <w:link w:val="QuoteChar"/>
    <w:qFormat/>
    <w:rsid w:val="00A06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0EC"/>
    <w:pPr>
      <w:pageBreakBefore/>
    </w:pPr>
  </w:style>
  <w:style w:type="paragraph" w:customStyle="1" w:styleId="Border">
    <w:name w:val="Border"/>
    <w:basedOn w:val="Normal"/>
    <w:qFormat/>
    <w:rsid w:val="00A06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0EC"/>
    <w:rPr>
      <w:u w:val="single"/>
    </w:rPr>
  </w:style>
  <w:style w:type="character" w:customStyle="1" w:styleId="BoldandItalics">
    <w:name w:val="Bold and Italics"/>
    <w:qFormat/>
    <w:rsid w:val="00A060EC"/>
    <w:rPr>
      <w:b/>
      <w:i/>
      <w:u w:val="none"/>
    </w:rPr>
  </w:style>
  <w:style w:type="paragraph" w:styleId="BalloonText">
    <w:name w:val="Balloon Text"/>
    <w:basedOn w:val="Normal"/>
    <w:link w:val="BalloonTextChar"/>
    <w:rsid w:val="00A06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0EC"/>
    <w:pPr>
      <w:spacing w:before="0" w:after="0"/>
    </w:pPr>
  </w:style>
  <w:style w:type="paragraph" w:customStyle="1" w:styleId="BodyTextBold">
    <w:name w:val="Body Text Bold"/>
    <w:basedOn w:val="BodyText"/>
    <w:qFormat/>
    <w:rsid w:val="00A060EC"/>
    <w:rPr>
      <w:b/>
    </w:rPr>
  </w:style>
  <w:style w:type="character" w:styleId="Hyperlink">
    <w:name w:val="Hyperlink"/>
    <w:basedOn w:val="DefaultParagraphFont"/>
    <w:uiPriority w:val="99"/>
    <w:unhideWhenUsed/>
    <w:rsid w:val="00BF6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5007</Characters>
  <Application>Microsoft Office Word</Application>
  <DocSecurity>0</DocSecurity>
  <Lines>250</Lines>
  <Paragraphs>129</Paragraphs>
  <ScaleCrop>false</ScaleCrop>
  <Company>Author-it Software Corporation Ltd.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AVIY0079 Conduct a 3D instrument landing system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