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B03" w:rsidP="00212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AVIW0029 Manage pre- and post-flight actions</w:t>
      </w:r>
      <w:r>
        <w:fldChar w:fldCharType="end"/>
      </w:r>
    </w:p>
    <w:p w:rsidR="00212B03" w:rsidP="00212B03">
      <w:pPr>
        <w:pStyle w:val="Version"/>
        <w:sectPr w:rsidSect="00DA4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089" w:rsidP="00DA4089">
      <w:pPr>
        <w:pStyle w:val="SuperHeading"/>
      </w:pPr>
      <w:r w:rsidRPr="00DA4089">
        <w:t>AVIW0029 Manage pre- and post-flight actions</w:t>
      </w:r>
    </w:p>
    <w:p w:rsidR="00000000" w:rsidRPr="00DA4089" w:rsidP="00DA4089">
      <w:pPr>
        <w:pStyle w:val="Heading1"/>
      </w:pPr>
      <w:bookmarkStart w:id="1" w:name="O_1027380"/>
      <w:bookmarkEnd w:id="1"/>
      <w:r w:rsidRPr="00DA40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Release 1. This is the first release of this unit of competency in the AVI Aviation Training Package.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2" w:name="O_1027381"/>
      <w:bookmarkEnd w:id="2"/>
      <w:r w:rsidRPr="00DA40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This unit involves the skills and knowledge required to manage pre- and post-flight actions</w:t>
            </w:r>
            <w:r w:rsidRPr="00DA4089">
              <w:t xml:space="preserve"> in compliance with relevant regulatory requirements of the Civil Aviation Safety Authority (CASA) and national operating standards.</w:t>
            </w:r>
          </w:p>
          <w:p w:rsidR="00000000" w:rsidRPr="00DA4089" w:rsidP="00DA4089">
            <w:pPr>
              <w:pStyle w:val="BodyText"/>
            </w:pPr>
            <w:r w:rsidRPr="00DA4089">
              <w:t>It includes completing pre- and post-flight administration, performing pre- and post-flight actions/inspections, and perfor</w:t>
            </w:r>
            <w:r w:rsidRPr="00DA4089">
              <w:t>ming and certifying daily inspections.</w:t>
            </w:r>
          </w:p>
          <w:p w:rsidR="00000000" w:rsidRPr="00DA4089" w:rsidP="00DA4089">
            <w:pPr>
              <w:pStyle w:val="BodyText"/>
            </w:pPr>
            <w:r w:rsidRPr="00DA4089">
              <w:t>This unit addresses aviation technical skill requirements (physical, mental and task-management abilities) related to equipment and system operations of flight crew and contributes to safe and effective performance in</w:t>
            </w:r>
            <w:r w:rsidRPr="00DA4089">
              <w:t xml:space="preserve"> complex aviation operational environments.</w:t>
            </w:r>
          </w:p>
          <w:p w:rsidR="00000000" w:rsidRPr="00DA4089" w:rsidP="00DA4089">
            <w:pPr>
              <w:pStyle w:val="BodyText"/>
            </w:pPr>
            <w:r w:rsidRPr="00DA4089">
              <w:t>Operations are conducted as part of commercial and military aircraft activities across a variety of operational contexts within the Australian aviation industry.</w:t>
            </w:r>
          </w:p>
          <w:p w:rsidR="00000000" w:rsidRPr="00DA4089" w:rsidP="00DA4089">
            <w:pPr>
              <w:pStyle w:val="BodyText"/>
            </w:pPr>
            <w:r w:rsidRPr="00DA4089">
              <w:t>Work is performed independently or under limited s</w:t>
            </w:r>
            <w:r w:rsidRPr="00DA4089">
              <w:t>upervision within a single-pilot or multi-crew environment.</w:t>
            </w:r>
          </w:p>
          <w:p w:rsidR="00000000" w:rsidRPr="00DA4089" w:rsidP="00DA4089">
            <w:pPr>
              <w:pStyle w:val="BodyText"/>
            </w:pPr>
            <w:r w:rsidRPr="00DA4089">
              <w:t>Licensing, legislative, regulatory or certification requirements are applicable to this unit.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3" w:name="O_1027382"/>
      <w:bookmarkEnd w:id="3"/>
      <w:r w:rsidRPr="00DA40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Not applicable.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4" w:name="O_1027383"/>
      <w:bookmarkEnd w:id="4"/>
      <w:r w:rsidRPr="00DA40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W – Equi</w:t>
            </w:r>
            <w:r w:rsidRPr="00DA4089">
              <w:t>pment and Systems Operations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5" w:name="O_1027384"/>
      <w:bookmarkEnd w:id="5"/>
      <w:r w:rsidRPr="00DA40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Not applicable.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6" w:name="O_1027385"/>
      <w:bookmarkEnd w:id="6"/>
      <w:r w:rsidRPr="00DA40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PERFORMANCE CRITERIA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 xml:space="preserve">Elements describe the essential </w:t>
            </w:r>
            <w:r w:rsidRPr="00DA408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 xml:space="preserve">Performance criteria describe the performance needed to </w:t>
            </w:r>
            <w:r w:rsidRPr="00DA4089">
              <w:t>demonstrate achievement of the element.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>Complete pre- and post-flight administration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Pre- and post-flight planning and documentation is completed in accordance with regulatory requirements an</w:t>
            </w:r>
            <w:r w:rsidRPr="00DA4089">
              <w:t>d/or operations manual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Aircraft take-off and landing performance is calculated in accordance with performance charts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Aircraft weight and balance is confirmed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Pre- and post-flight maintenance release (flight technical log) and flight administration is completed in accordance with regulatory requirements and/or operations manual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Aircraft serviceability is determined by daily inspection, and certification o</w:t>
            </w:r>
            <w:r w:rsidRPr="00DA4089">
              <w:t>f daily inspection in maintenance release (flight and technical log) is completed in accordance with regulations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>Perform pre- and post-flight actions/inspection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Equipment and documentation, as required by regulation, is identified and secured in air</w:t>
            </w:r>
            <w:r w:rsidRPr="00DA4089">
              <w:t>craft pre-flight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Hazards are identified, risks are assessed and hazard management implemented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Internal checks are completed in accordance with approved checklist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External checks are completed in accordance with approved checklist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Flight equipment and documentation are removed from aircraft post-flight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Aircraft is secured in accordance with manufacturer specifications and organisational procedures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rPr>
                <w:rStyle w:val="SpecialBold"/>
              </w:rPr>
              <w:t>Perform and certify daily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Daily inspection of aircraft is performed in accordance with authorised aviation maintenance systems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t>Appropriate actions are undertaken to rectify discrepancies</w:t>
            </w:r>
          </w:p>
        </w:tc>
      </w:tr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089">
            <w:pPr>
              <w:pStyle w:val="BodyText"/>
              <w:rPr>
                <w:lang w:val="en-NZ"/>
              </w:rPr>
            </w:pPr>
            <w:r w:rsidRPr="00DA40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Daily inspection is certified in accordance with regulatory requirements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7" w:name="O_1027386"/>
      <w:bookmarkEnd w:id="7"/>
      <w:r w:rsidRPr="00DA40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Foundation skills essential to performance are explicit in the performance criteria of this unit of competency.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8" w:name="O_1027387"/>
      <w:bookmarkEnd w:id="8"/>
      <w:r w:rsidRPr="00DA40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Range is restricted to essential operating conditions and any other variables essential to the work environment.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9" w:name="O_1027388"/>
      <w:bookmarkEnd w:id="9"/>
      <w:r w:rsidRPr="00DA40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089" w:rsidP="00DA4089">
            <w:pPr>
              <w:pStyle w:val="BodyText"/>
            </w:pPr>
            <w:r w:rsidRPr="00DA4089">
              <w:t>This unit replaces and is equivalent to AVIW4001 Manage pre- and post-flight actions.</w:t>
            </w:r>
          </w:p>
        </w:tc>
      </w:tr>
    </w:tbl>
    <w:p w:rsidR="00000000" w:rsidRPr="00DA4089" w:rsidP="00DA4089">
      <w:pPr>
        <w:pStyle w:val="NoPaddingFontSize1"/>
      </w:pPr>
    </w:p>
    <w:p w:rsidR="00000000" w:rsidRPr="00DA4089" w:rsidP="00DA4089">
      <w:pPr>
        <w:pStyle w:val="AllowPageBreak"/>
      </w:pPr>
    </w:p>
    <w:p w:rsidR="00000000" w:rsidRPr="00DA4089" w:rsidP="00DA4089">
      <w:pPr>
        <w:pStyle w:val="Heading1"/>
      </w:pPr>
      <w:bookmarkStart w:id="10" w:name="O_1027395"/>
      <w:bookmarkEnd w:id="10"/>
      <w:r w:rsidRPr="00DA4089">
        <w:t>Links</w:t>
      </w:r>
    </w:p>
    <w:p w:rsidR="00000000" w:rsidRPr="00DA4089" w:rsidP="00212B03">
      <w:pPr>
        <w:pStyle w:val="BodyText"/>
      </w:pPr>
      <w:r w:rsidRPr="00DA408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B02D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A4089" w:rsidP="00DA4089"/>
    <w:sectPr w:rsidSect="00DA4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89" w:rsidRPr="00212B03" w:rsidP="00212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B03" w:rsidP="00DA4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B03" w:rsidP="00DA4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2B03" w:rsidP="00DA4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089" w:rsidRPr="00212B03" w:rsidP="00212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B03" w:rsidRPr="002D2AF8" w:rsidP="00DA4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AVIW0029 Manage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12B03" w:rsidP="00DA4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089"/>
  </w:style>
  <w:style w:type="character" w:customStyle="1" w:styleId="Heading1Char">
    <w:name w:val="Heading 1 Char"/>
    <w:basedOn w:val="DefaultParagraphFont"/>
    <w:link w:val="Heading1"/>
    <w:rsid w:val="00DA4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0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4089"/>
    <w:rPr>
      <w:b/>
      <w:spacing w:val="0"/>
    </w:rPr>
  </w:style>
  <w:style w:type="paragraph" w:customStyle="1" w:styleId="SuperHeading">
    <w:name w:val="SuperHeading"/>
    <w:basedOn w:val="Normal"/>
    <w:rsid w:val="00DA4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4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0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0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4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0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089"/>
    <w:rPr>
      <w:i/>
    </w:rPr>
  </w:style>
  <w:style w:type="paragraph" w:styleId="Caption">
    <w:name w:val="caption"/>
    <w:basedOn w:val="BodyText"/>
    <w:next w:val="Normal"/>
    <w:qFormat/>
    <w:rsid w:val="00DA4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089"/>
  </w:style>
  <w:style w:type="paragraph" w:styleId="TableofFigures">
    <w:name w:val="table of figures"/>
    <w:basedOn w:val="Normal"/>
    <w:next w:val="Normal"/>
    <w:semiHidden/>
    <w:rsid w:val="00DA4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0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4089"/>
    <w:rPr>
      <w:rFonts w:ascii="Wingdings" w:hAnsi="Wingdings"/>
    </w:rPr>
  </w:style>
  <w:style w:type="paragraph" w:customStyle="1" w:styleId="TableHeading">
    <w:name w:val="Table Heading"/>
    <w:basedOn w:val="HeadingBase"/>
    <w:rsid w:val="00DA4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089"/>
    <w:rPr>
      <w:color w:val="0033CC"/>
      <w:u w:val="none"/>
    </w:rPr>
  </w:style>
  <w:style w:type="paragraph" w:customStyle="1" w:styleId="BodyTextRight">
    <w:name w:val="Body Text Right"/>
    <w:basedOn w:val="BodyText"/>
    <w:rsid w:val="00DA4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0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089"/>
    <w:rPr>
      <w:sz w:val="32"/>
    </w:rPr>
  </w:style>
  <w:style w:type="paragraph" w:customStyle="1" w:styleId="HeadingProcedure">
    <w:name w:val="Heading Procedure"/>
    <w:basedOn w:val="HeadingBase"/>
    <w:next w:val="Normal"/>
    <w:rsid w:val="00DA4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089"/>
    <w:pPr>
      <w:spacing w:before="60" w:after="60"/>
    </w:pPr>
  </w:style>
  <w:style w:type="paragraph" w:styleId="ListContinue">
    <w:name w:val="List Continue"/>
    <w:basedOn w:val="List"/>
    <w:rsid w:val="00DA4089"/>
    <w:pPr>
      <w:ind w:firstLine="0"/>
    </w:pPr>
  </w:style>
  <w:style w:type="paragraph" w:customStyle="1" w:styleId="ListNote">
    <w:name w:val="List Note"/>
    <w:basedOn w:val="List"/>
    <w:rsid w:val="00DA4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089"/>
    <w:rPr>
      <w:rFonts w:ascii="Courier New" w:hAnsi="Courier New"/>
    </w:rPr>
  </w:style>
  <w:style w:type="paragraph" w:customStyle="1" w:styleId="NoteBullet">
    <w:name w:val="Note Bullet"/>
    <w:basedOn w:val="Note"/>
    <w:rsid w:val="00DA4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0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4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089"/>
    <w:rPr>
      <w:b/>
      <w:smallCaps/>
    </w:rPr>
  </w:style>
  <w:style w:type="paragraph" w:customStyle="1" w:styleId="TableListNumber">
    <w:name w:val="Table List Number"/>
    <w:basedOn w:val="ListNumber"/>
    <w:rsid w:val="00DA4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089"/>
    <w:pPr>
      <w:numPr>
        <w:numId w:val="7"/>
      </w:numPr>
    </w:pPr>
  </w:style>
  <w:style w:type="paragraph" w:customStyle="1" w:styleId="ListAlpha2">
    <w:name w:val="List Alpha 2"/>
    <w:basedOn w:val="List2"/>
    <w:rsid w:val="00DA4089"/>
    <w:pPr>
      <w:numPr>
        <w:numId w:val="6"/>
      </w:numPr>
    </w:pPr>
  </w:style>
  <w:style w:type="paragraph" w:styleId="List2">
    <w:name w:val="List 2"/>
    <w:basedOn w:val="BodyText"/>
    <w:rsid w:val="00DA4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0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0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4089"/>
    <w:pPr>
      <w:numPr>
        <w:numId w:val="2"/>
      </w:numPr>
    </w:pPr>
  </w:style>
  <w:style w:type="paragraph" w:styleId="ListContinue2">
    <w:name w:val="List Continue 2"/>
    <w:basedOn w:val="List2"/>
    <w:rsid w:val="00DA4089"/>
    <w:pPr>
      <w:ind w:firstLine="0"/>
    </w:pPr>
  </w:style>
  <w:style w:type="paragraph" w:styleId="ListContinue3">
    <w:name w:val="List Continue 3"/>
    <w:basedOn w:val="List3"/>
    <w:rsid w:val="00DA4089"/>
    <w:pPr>
      <w:ind w:left="1021" w:firstLine="0"/>
    </w:pPr>
  </w:style>
  <w:style w:type="paragraph" w:styleId="ListContinue4">
    <w:name w:val="List Continue 4"/>
    <w:basedOn w:val="List4"/>
    <w:rsid w:val="00DA4089"/>
    <w:pPr>
      <w:ind w:firstLine="0"/>
    </w:pPr>
  </w:style>
  <w:style w:type="paragraph" w:styleId="ListContinue5">
    <w:name w:val="List Continue 5"/>
    <w:basedOn w:val="List5"/>
    <w:rsid w:val="00DA4089"/>
    <w:pPr>
      <w:ind w:firstLine="0"/>
    </w:pPr>
  </w:style>
  <w:style w:type="paragraph" w:styleId="ListNumber3">
    <w:name w:val="List Number 3"/>
    <w:basedOn w:val="List3"/>
    <w:rsid w:val="00DA4089"/>
    <w:pPr>
      <w:numPr>
        <w:numId w:val="3"/>
      </w:numPr>
    </w:pPr>
  </w:style>
  <w:style w:type="paragraph" w:styleId="ListNumber4">
    <w:name w:val="List Number 4"/>
    <w:basedOn w:val="List4"/>
    <w:rsid w:val="00DA4089"/>
    <w:pPr>
      <w:numPr>
        <w:numId w:val="4"/>
      </w:numPr>
    </w:pPr>
  </w:style>
  <w:style w:type="paragraph" w:styleId="ListNumber5">
    <w:name w:val="List Number 5"/>
    <w:basedOn w:val="List5"/>
    <w:rsid w:val="00DA4089"/>
    <w:pPr>
      <w:numPr>
        <w:numId w:val="5"/>
      </w:numPr>
    </w:pPr>
  </w:style>
  <w:style w:type="paragraph" w:styleId="BlockText">
    <w:name w:val="Block Text"/>
    <w:basedOn w:val="Normal"/>
    <w:rsid w:val="00DA4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089"/>
    <w:rPr>
      <w:sz w:val="16"/>
      <w:vertAlign w:val="superscript"/>
    </w:rPr>
  </w:style>
  <w:style w:type="character" w:customStyle="1" w:styleId="Symbols">
    <w:name w:val="Symbols"/>
    <w:basedOn w:val="DefaultParagraphFont"/>
    <w:rsid w:val="00DA4089"/>
    <w:rPr>
      <w:rFonts w:ascii="Symbol" w:hAnsi="Symbol"/>
    </w:rPr>
  </w:style>
  <w:style w:type="character" w:customStyle="1" w:styleId="MenuOptions">
    <w:name w:val="Menu Options"/>
    <w:basedOn w:val="DefaultParagraphFont"/>
    <w:rsid w:val="00DA4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089"/>
    <w:rPr>
      <w:b/>
    </w:rPr>
  </w:style>
  <w:style w:type="character" w:customStyle="1" w:styleId="Underlined">
    <w:name w:val="Underlined"/>
    <w:basedOn w:val="DefaultParagraphFont"/>
    <w:rsid w:val="00DA4089"/>
    <w:rPr>
      <w:u w:val="single"/>
    </w:rPr>
  </w:style>
  <w:style w:type="paragraph" w:customStyle="1" w:styleId="TableBodyTextRight">
    <w:name w:val="Table Body Text Right"/>
    <w:basedOn w:val="TableBodyText"/>
    <w:rsid w:val="00DA4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089"/>
    <w:rPr>
      <w:sz w:val="18"/>
    </w:rPr>
  </w:style>
  <w:style w:type="paragraph" w:customStyle="1" w:styleId="BodySmallRight">
    <w:name w:val="Body Small Right"/>
    <w:basedOn w:val="BodyTextRight"/>
    <w:rsid w:val="00DA4089"/>
    <w:rPr>
      <w:sz w:val="18"/>
      <w:szCs w:val="18"/>
    </w:rPr>
  </w:style>
  <w:style w:type="paragraph" w:customStyle="1" w:styleId="MarginEdition">
    <w:name w:val="Margin Edition"/>
    <w:basedOn w:val="MarginNote"/>
    <w:rsid w:val="00DA4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089"/>
    <w:rPr>
      <w:sz w:val="2"/>
      <w:szCs w:val="2"/>
    </w:rPr>
  </w:style>
  <w:style w:type="character" w:customStyle="1" w:styleId="Small">
    <w:name w:val="Small"/>
    <w:basedOn w:val="DefaultParagraphFont"/>
    <w:rsid w:val="00DA4089"/>
    <w:rPr>
      <w:sz w:val="16"/>
    </w:rPr>
  </w:style>
  <w:style w:type="paragraph" w:customStyle="1" w:styleId="WideTable">
    <w:name w:val="Wide Table"/>
    <w:basedOn w:val="Normal"/>
    <w:rsid w:val="00DA4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089"/>
  </w:style>
  <w:style w:type="paragraph" w:styleId="Quote">
    <w:name w:val="Quote"/>
    <w:basedOn w:val="Heading1"/>
    <w:link w:val="QuoteChar"/>
    <w:qFormat/>
    <w:rsid w:val="00DA4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089"/>
    <w:pPr>
      <w:pageBreakBefore/>
    </w:pPr>
  </w:style>
  <w:style w:type="paragraph" w:customStyle="1" w:styleId="Border">
    <w:name w:val="Border"/>
    <w:basedOn w:val="Normal"/>
    <w:qFormat/>
    <w:rsid w:val="00DA4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089"/>
    <w:rPr>
      <w:u w:val="single"/>
    </w:rPr>
  </w:style>
  <w:style w:type="character" w:customStyle="1" w:styleId="BoldandItalics">
    <w:name w:val="Bold and Italics"/>
    <w:qFormat/>
    <w:rsid w:val="00DA4089"/>
    <w:rPr>
      <w:b/>
      <w:i/>
      <w:u w:val="none"/>
    </w:rPr>
  </w:style>
  <w:style w:type="paragraph" w:styleId="BalloonText">
    <w:name w:val="Balloon Text"/>
    <w:basedOn w:val="Normal"/>
    <w:link w:val="BalloonTextChar"/>
    <w:rsid w:val="00DA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089"/>
    <w:pPr>
      <w:spacing w:before="0" w:after="0"/>
    </w:pPr>
  </w:style>
  <w:style w:type="paragraph" w:customStyle="1" w:styleId="BodyTextBold">
    <w:name w:val="Body Text Bold"/>
    <w:basedOn w:val="BodyText"/>
    <w:qFormat/>
    <w:rsid w:val="00DA4089"/>
    <w:rPr>
      <w:b/>
    </w:rPr>
  </w:style>
  <w:style w:type="character" w:styleId="Hyperlink">
    <w:name w:val="Hyperlink"/>
    <w:basedOn w:val="DefaultParagraphFont"/>
    <w:uiPriority w:val="99"/>
    <w:unhideWhenUsed/>
    <w:rsid w:val="00212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3388</Characters>
  <Application>Microsoft Office Word</Application>
  <DocSecurity>0</DocSecurity>
  <Lines>154</Lines>
  <Paragraphs>79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AVIW0029 Manage pre- and post-flight 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