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51A8" w:rsidP="007051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AVIO0033 Establish secure areas and manage access control points</w:t>
      </w:r>
      <w:r>
        <w:fldChar w:fldCharType="end"/>
      </w:r>
    </w:p>
    <w:p w:rsidR="007051A8" w:rsidP="007051A8">
      <w:pPr>
        <w:pStyle w:val="Version"/>
        <w:sectPr w:rsidSect="001F67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6773" w:rsidP="001F6773">
      <w:pPr>
        <w:pStyle w:val="SuperHeading"/>
      </w:pPr>
      <w:r w:rsidRPr="001F6773">
        <w:t>AVIO0033 Establish secure areas and manage access control points</w:t>
      </w:r>
    </w:p>
    <w:p w:rsidR="00000000" w:rsidRPr="001F6773" w:rsidP="001F6773">
      <w:pPr>
        <w:pStyle w:val="Heading1"/>
      </w:pPr>
      <w:bookmarkStart w:id="1" w:name="O_1297290"/>
      <w:bookmarkEnd w:id="1"/>
      <w:r w:rsidRPr="001F67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6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 w:rsidP="001F6773">
            <w:pPr>
              <w:pStyle w:val="BodyText"/>
            </w:pPr>
            <w:r w:rsidRPr="001F6773">
              <w:t>Release 1. This is the first release of this unit of competency in the AVI Aviation Training Package.</w:t>
            </w:r>
          </w:p>
        </w:tc>
      </w:tr>
    </w:tbl>
    <w:p w:rsidR="00000000" w:rsidRPr="001F6773" w:rsidP="001F6773">
      <w:pPr>
        <w:pStyle w:val="NoPaddingFontSize1"/>
      </w:pPr>
    </w:p>
    <w:p w:rsidR="00000000" w:rsidRPr="001F6773" w:rsidP="001F6773">
      <w:pPr>
        <w:pStyle w:val="AllowPageBreak"/>
      </w:pPr>
    </w:p>
    <w:p w:rsidR="00000000" w:rsidRPr="001F6773" w:rsidP="001F6773">
      <w:pPr>
        <w:pStyle w:val="Heading1"/>
      </w:pPr>
      <w:bookmarkStart w:id="2" w:name="O_1297291"/>
      <w:bookmarkEnd w:id="2"/>
      <w:r w:rsidRPr="001F677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6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 w:rsidP="001F6773">
            <w:pPr>
              <w:pStyle w:val="BodyText"/>
            </w:pPr>
            <w:r w:rsidRPr="001F6773">
              <w:t>This unit involves the skills and knowledge required to establish secure areas and manage access control points in compliance with relevant regulatory requirements and national operating standards.</w:t>
            </w:r>
          </w:p>
          <w:p w:rsidR="00000000" w:rsidRPr="001F6773" w:rsidP="001F6773">
            <w:pPr>
              <w:pStyle w:val="BodyText"/>
            </w:pPr>
            <w:r w:rsidRPr="001F6773">
              <w:t>It includes establishing and managing sterile secure areas</w:t>
            </w:r>
            <w:r w:rsidRPr="001F6773">
              <w:t>, managing persons and inspecting articles entering secure areas. It also includes managing access control systems in a secure area, recognising and reporting breaches and completing required documentation.</w:t>
            </w:r>
          </w:p>
          <w:p w:rsidR="00000000" w:rsidRPr="001F6773" w:rsidP="001F6773">
            <w:pPr>
              <w:pStyle w:val="BodyText"/>
            </w:pPr>
            <w:r w:rsidRPr="001F6773">
              <w:t xml:space="preserve">This unit addresses technical skill requirements </w:t>
            </w:r>
            <w:r w:rsidRPr="001F6773">
              <w:t>(physical, mental and task-management abilities) related to security duties of screening officers and contributes to safe and effective performance in complex transport security operational environments.</w:t>
            </w:r>
          </w:p>
          <w:p w:rsidR="00000000" w:rsidRPr="001F6773" w:rsidP="001F6773">
            <w:pPr>
              <w:pStyle w:val="BodyText"/>
            </w:pPr>
            <w:r w:rsidRPr="001F6773">
              <w:t>Operations are conducted across a variety of operati</w:t>
            </w:r>
            <w:r w:rsidRPr="001F6773">
              <w:t>onal contexts within the Australian transport security environment.</w:t>
            </w:r>
          </w:p>
          <w:p w:rsidR="00000000" w:rsidRPr="001F6773" w:rsidP="001F6773">
            <w:pPr>
              <w:pStyle w:val="BodyText"/>
            </w:pPr>
            <w:r w:rsidRPr="001F6773">
              <w:t>Licensing, legislative, regulatory or certification requirements are applicable to this unit.</w:t>
            </w:r>
          </w:p>
        </w:tc>
      </w:tr>
    </w:tbl>
    <w:p w:rsidR="00000000" w:rsidRPr="001F6773" w:rsidP="001F6773">
      <w:pPr>
        <w:pStyle w:val="NoPaddingFontSize1"/>
      </w:pPr>
    </w:p>
    <w:p w:rsidR="00000000" w:rsidRPr="001F6773" w:rsidP="001F6773">
      <w:pPr>
        <w:pStyle w:val="AllowPageBreak"/>
      </w:pPr>
    </w:p>
    <w:p w:rsidR="00000000" w:rsidRPr="001F6773" w:rsidP="001F6773">
      <w:pPr>
        <w:pStyle w:val="Heading1"/>
      </w:pPr>
      <w:bookmarkStart w:id="3" w:name="O_1297292"/>
      <w:bookmarkEnd w:id="3"/>
      <w:r w:rsidRPr="001F677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6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 w:rsidP="001F6773">
            <w:pPr>
              <w:pStyle w:val="BodyText"/>
            </w:pPr>
            <w:r w:rsidRPr="001F6773">
              <w:t>Not applicable.</w:t>
            </w:r>
          </w:p>
        </w:tc>
      </w:tr>
    </w:tbl>
    <w:p w:rsidR="00000000" w:rsidRPr="001F6773" w:rsidP="001F6773">
      <w:pPr>
        <w:pStyle w:val="NoPaddingFontSize1"/>
      </w:pPr>
    </w:p>
    <w:p w:rsidR="00000000" w:rsidRPr="001F6773" w:rsidP="001F6773">
      <w:pPr>
        <w:pStyle w:val="AllowPageBreak"/>
      </w:pPr>
    </w:p>
    <w:p w:rsidR="00000000" w:rsidRPr="001F6773" w:rsidP="001F6773">
      <w:pPr>
        <w:pStyle w:val="Heading1"/>
      </w:pPr>
      <w:bookmarkStart w:id="4" w:name="O_1297293"/>
      <w:bookmarkEnd w:id="4"/>
      <w:r w:rsidRPr="001F677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6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 w:rsidP="001F6773">
            <w:pPr>
              <w:pStyle w:val="BodyText"/>
            </w:pPr>
            <w:r w:rsidRPr="001F6773">
              <w:t>O – Security</w:t>
            </w:r>
          </w:p>
        </w:tc>
      </w:tr>
    </w:tbl>
    <w:p w:rsidR="00000000" w:rsidRPr="001F6773" w:rsidP="001F6773">
      <w:pPr>
        <w:pStyle w:val="NoPaddingFontSize1"/>
      </w:pPr>
    </w:p>
    <w:p w:rsidR="00000000" w:rsidRPr="001F6773" w:rsidP="001F6773">
      <w:pPr>
        <w:pStyle w:val="AllowPageBreak"/>
      </w:pPr>
    </w:p>
    <w:p w:rsidR="00000000" w:rsidRPr="001F6773" w:rsidP="001F6773">
      <w:pPr>
        <w:pStyle w:val="Heading1"/>
      </w:pPr>
      <w:bookmarkStart w:id="5" w:name="O_1297294"/>
      <w:bookmarkEnd w:id="5"/>
      <w:r w:rsidRPr="001F677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6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 w:rsidP="001F6773">
            <w:pPr>
              <w:pStyle w:val="BodyText"/>
            </w:pPr>
            <w:r w:rsidRPr="001F6773">
              <w:t>Not applicable.</w:t>
            </w:r>
          </w:p>
        </w:tc>
      </w:tr>
    </w:tbl>
    <w:p w:rsidR="00000000" w:rsidRPr="001F6773" w:rsidP="001F6773">
      <w:pPr>
        <w:pStyle w:val="NoPaddingFontSize1"/>
      </w:pPr>
    </w:p>
    <w:p w:rsidR="00000000" w:rsidRPr="001F6773" w:rsidP="001F6773">
      <w:pPr>
        <w:pStyle w:val="AllowPageBreak"/>
      </w:pPr>
    </w:p>
    <w:p w:rsidR="00000000" w:rsidRPr="001F6773" w:rsidP="001F6773">
      <w:pPr>
        <w:pStyle w:val="Heading1"/>
      </w:pPr>
      <w:bookmarkStart w:id="6" w:name="O_1297295"/>
      <w:bookmarkEnd w:id="6"/>
      <w:r w:rsidRPr="001F677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31"/>
        <w:gridCol w:w="821"/>
        <w:gridCol w:w="5539"/>
      </w:tblGrid>
      <w:tr w:rsidTr="001F6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 w:rsidP="001F6773">
            <w:pPr>
              <w:pStyle w:val="BodyText"/>
            </w:pPr>
            <w:r w:rsidRPr="001F6773">
              <w:rPr>
                <w:rStyle w:val="SpecialBold"/>
              </w:rPr>
              <w:t>ELEMENTS</w:t>
            </w:r>
          </w:p>
        </w:tc>
        <w:tc>
          <w:tcPr>
            <w:tcW w:w="6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rPr>
                <w:rStyle w:val="SpecialBold"/>
              </w:rPr>
              <w:t>PERFORMANCE CRITERIA</w:t>
            </w:r>
          </w:p>
        </w:tc>
      </w:tr>
      <w:tr w:rsidTr="001F6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t xml:space="preserve">Elements describe the essential </w:t>
            </w:r>
            <w:r w:rsidRPr="001F6773">
              <w:t>outcomes.</w:t>
            </w:r>
          </w:p>
        </w:tc>
        <w:tc>
          <w:tcPr>
            <w:tcW w:w="6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t xml:space="preserve">Performance criteria describe the performance needed to </w:t>
            </w:r>
            <w:r w:rsidRPr="001F6773">
              <w:t>demonstrate achievement of the element.</w:t>
            </w:r>
          </w:p>
        </w:tc>
      </w:tr>
      <w:tr w:rsidTr="001F6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 w:rsidP="001F6773">
            <w:pPr>
              <w:pStyle w:val="BodyText"/>
            </w:pPr>
            <w:r w:rsidRPr="001F6773">
              <w:rPr>
                <w:rStyle w:val="SpecialBold"/>
              </w:rPr>
              <w:t xml:space="preserve">1 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 w:rsidP="001F6773">
            <w:pPr>
              <w:pStyle w:val="BodyText"/>
            </w:pPr>
            <w:r w:rsidRPr="001F6773">
              <w:rPr>
                <w:rStyle w:val="SpecialBold"/>
              </w:rPr>
              <w:t>Establish and manage secure areas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rPr>
                <w:rStyle w:val="SpecialBold"/>
              </w:rPr>
              <w:t>1.1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t>Secure areas are established, as required in accordance with workplace procedures</w:t>
            </w:r>
          </w:p>
        </w:tc>
      </w:tr>
      <w:tr w:rsidTr="001F6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rPr>
                <w:rStyle w:val="SpecialBold"/>
              </w:rPr>
              <w:t>1.2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t>Secure areas are re-establis</w:t>
            </w:r>
            <w:r w:rsidRPr="001F6773">
              <w:t>hed following a breach, evacuation or equipment failure, as required in accordance with workplace procedures</w:t>
            </w:r>
          </w:p>
        </w:tc>
      </w:tr>
      <w:tr w:rsidTr="001F6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rPr>
                <w:rStyle w:val="SpecialBold"/>
              </w:rPr>
              <w:t>1.3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t>Record of actions taken to establish or re-establish a secure area are completed, in accordance with workplace procedures</w:t>
            </w:r>
          </w:p>
        </w:tc>
      </w:tr>
      <w:tr w:rsidTr="001F6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 w:rsidP="001F6773">
            <w:pPr>
              <w:pStyle w:val="BodyText"/>
            </w:pPr>
            <w:r w:rsidRPr="001F6773">
              <w:rPr>
                <w:rStyle w:val="SpecialBold"/>
              </w:rPr>
              <w:t xml:space="preserve">2 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 w:rsidP="001F6773">
            <w:pPr>
              <w:pStyle w:val="BodyText"/>
            </w:pPr>
            <w:r w:rsidRPr="001F6773">
              <w:rPr>
                <w:rStyle w:val="SpecialBold"/>
              </w:rPr>
              <w:t>Manage persons to enter a secure area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rPr>
                <w:rStyle w:val="SpecialBold"/>
              </w:rPr>
              <w:t>2.1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t>Appropriate personal protective equipment is selected and used in accordance with workplace procedures</w:t>
            </w:r>
          </w:p>
        </w:tc>
      </w:tr>
      <w:tr w:rsidTr="001F6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rPr>
                <w:rStyle w:val="SpecialBold"/>
              </w:rPr>
              <w:t>2.2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t>Persons are received in a professional and courteous manner and processed in accordance with workplace p</w:t>
            </w:r>
            <w:r w:rsidRPr="001F6773">
              <w:t>rocedures</w:t>
            </w:r>
          </w:p>
        </w:tc>
      </w:tr>
      <w:tr w:rsidTr="001F6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rPr>
                <w:rStyle w:val="SpecialBold"/>
              </w:rPr>
              <w:t>2.3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t>Identification details of persons entering secure areas are verified, and appropriate actions are taken to manage any irregularities in accordance with legislative requirements and workplace procedures</w:t>
            </w:r>
          </w:p>
        </w:tc>
      </w:tr>
      <w:tr w:rsidTr="001F6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rPr>
                <w:rStyle w:val="SpecialBold"/>
              </w:rPr>
              <w:t>2.4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t>Entry validations are issued and collected in accordance with workplace procedures</w:t>
            </w:r>
          </w:p>
        </w:tc>
      </w:tr>
      <w:tr w:rsidTr="001F6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rPr>
                <w:rStyle w:val="SpecialBold"/>
              </w:rPr>
              <w:t>2.5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t>Behaviour of persons in and around secure areas is monitored in a transport security environment</w:t>
            </w:r>
          </w:p>
        </w:tc>
      </w:tr>
      <w:tr w:rsidTr="001F6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 w:rsidP="001F6773">
            <w:pPr>
              <w:pStyle w:val="BodyText"/>
            </w:pPr>
            <w:r w:rsidRPr="001F6773">
              <w:rPr>
                <w:rStyle w:val="SpecialBold"/>
              </w:rPr>
              <w:t>3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 w:rsidP="001F6773">
            <w:pPr>
              <w:pStyle w:val="BodyText"/>
            </w:pPr>
            <w:r w:rsidRPr="001F6773">
              <w:rPr>
                <w:rStyle w:val="SpecialBold"/>
              </w:rPr>
              <w:t>Inspect articles to enter secure areas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rPr>
                <w:rStyle w:val="SpecialBold"/>
              </w:rPr>
              <w:t>3.1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t>Requests to inspect per</w:t>
            </w:r>
            <w:r w:rsidRPr="001F6773">
              <w:t>sonal effects are communicated, and inspections are made in accordance with legislative requirements and workplace procedures</w:t>
            </w:r>
          </w:p>
        </w:tc>
      </w:tr>
      <w:tr w:rsidTr="001F6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rPr>
                <w:rStyle w:val="SpecialBold"/>
              </w:rPr>
              <w:t>3.2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t>Prohibited items or weapons found during inspections are managed and reported, in accordance with legislative requirements and workplace procedures</w:t>
            </w:r>
          </w:p>
        </w:tc>
      </w:tr>
      <w:tr w:rsidTr="001F6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rPr>
                <w:rStyle w:val="SpecialBold"/>
              </w:rPr>
              <w:t>3.3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t>Persons refusing inspection requests are reported and processed in accordance with legislative requir</w:t>
            </w:r>
            <w:r w:rsidRPr="001F6773">
              <w:t>ements and workplace procedures</w:t>
            </w:r>
          </w:p>
        </w:tc>
      </w:tr>
      <w:tr w:rsidTr="001F6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 w:rsidP="001F6773">
            <w:pPr>
              <w:pStyle w:val="BodyText"/>
            </w:pPr>
            <w:r w:rsidRPr="001F6773">
              <w:rPr>
                <w:rStyle w:val="SpecialBold"/>
              </w:rPr>
              <w:t>4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 w:rsidP="001F6773">
            <w:pPr>
              <w:pStyle w:val="BodyText"/>
            </w:pPr>
            <w:r w:rsidRPr="001F6773">
              <w:rPr>
                <w:rStyle w:val="SpecialBold"/>
              </w:rPr>
              <w:t>Manage access control systems in secure areas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rPr>
                <w:rStyle w:val="SpecialBold"/>
              </w:rPr>
              <w:t>4.1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 w:rsidP="001F6773">
            <w:pPr>
              <w:pStyle w:val="BodyText"/>
            </w:pPr>
            <w:r w:rsidRPr="001F6773">
              <w:t>Keys and access control devices for secure areas are controlled, recorded, monitored and reconciled in accordance with legislative requirements and workplace procedures</w:t>
            </w:r>
          </w:p>
          <w:p w:rsidR="00000000" w:rsidP="001F6773">
            <w:pPr>
              <w:pStyle w:val="BodyText"/>
              <w:rPr>
                <w:lang w:val="en-NZ"/>
              </w:rPr>
            </w:pPr>
          </w:p>
        </w:tc>
      </w:tr>
      <w:tr w:rsidTr="001F6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rPr>
                <w:rStyle w:val="SpecialBold"/>
              </w:rPr>
              <w:t>4.2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t>Control systems and barriers to secure areas are operated in accordance with legislative requirements and workplace procedures</w:t>
            </w:r>
          </w:p>
        </w:tc>
      </w:tr>
      <w:tr w:rsidTr="001F6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rPr>
                <w:rStyle w:val="SpecialBold"/>
              </w:rPr>
              <w:t>4.3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t>Keypad and alarm entry systems for secure areas are managed in accordance with workplace procedures</w:t>
            </w:r>
          </w:p>
        </w:tc>
      </w:tr>
      <w:tr w:rsidTr="001F6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 w:rsidP="001F6773">
            <w:pPr>
              <w:pStyle w:val="BodyText"/>
            </w:pPr>
            <w:r w:rsidRPr="001F6773">
              <w:rPr>
                <w:rStyle w:val="SpecialBold"/>
              </w:rPr>
              <w:t>5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 w:rsidP="001F6773">
            <w:pPr>
              <w:pStyle w:val="BodyText"/>
            </w:pPr>
            <w:r w:rsidRPr="001F6773">
              <w:rPr>
                <w:rStyle w:val="SpecialBold"/>
              </w:rPr>
              <w:t>Manage breach</w:t>
            </w:r>
            <w:r w:rsidRPr="001F6773">
              <w:rPr>
                <w:rStyle w:val="SpecialBold"/>
              </w:rPr>
              <w:t>es of secure areas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rPr>
                <w:rStyle w:val="SpecialBold"/>
              </w:rPr>
              <w:t>5.1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t>Breaches and nature of breaches or potential breaches of secure areas are recognised and managed</w:t>
            </w:r>
          </w:p>
        </w:tc>
      </w:tr>
      <w:tr w:rsidTr="001F6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rPr>
                <w:rStyle w:val="SpecialBold"/>
              </w:rPr>
              <w:t>5.2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t>Breaches or potential breaches are reported to designated personnel in accordance with legislative requirements and workplace procedures</w:t>
            </w:r>
          </w:p>
        </w:tc>
      </w:tr>
      <w:tr w:rsidTr="001F6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rPr>
                <w:rStyle w:val="SpecialBold"/>
              </w:rPr>
              <w:t>5.3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t>Appropriate communication equipment and codes are used to report breaches or potential breaches in a secure area</w:t>
            </w:r>
          </w:p>
        </w:tc>
      </w:tr>
      <w:tr w:rsidTr="001F6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rPr>
                <w:rStyle w:val="SpecialBold"/>
              </w:rPr>
              <w:t>5.4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t>Workplace activities are modified to manage workplace contingencies, risk situations and environments in accordance with legislative requirements and workplace procedures</w:t>
            </w:r>
          </w:p>
        </w:tc>
      </w:tr>
      <w:tr w:rsidTr="001F6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 w:rsidP="001F6773">
            <w:pPr>
              <w:pStyle w:val="BodyText"/>
            </w:pPr>
            <w:r w:rsidRPr="001F6773">
              <w:rPr>
                <w:rStyle w:val="SpecialBold"/>
              </w:rPr>
              <w:t>6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 w:rsidP="001F6773">
            <w:pPr>
              <w:pStyle w:val="BodyText"/>
            </w:pPr>
            <w:r w:rsidRPr="001F6773">
              <w:rPr>
                <w:rStyle w:val="SpecialBold"/>
              </w:rPr>
              <w:t>Complete required documentation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rPr>
                <w:rStyle w:val="SpecialBold"/>
              </w:rPr>
              <w:t>6.1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t>Written reports on a breach, potential</w:t>
            </w:r>
            <w:r w:rsidRPr="001F6773">
              <w:t xml:space="preserve"> breach, evacuation or equipment failure and related action to re-establish a secure area, are completed and referred to designated personnel in accordance with legislative requirements and workplace procedures</w:t>
            </w:r>
          </w:p>
        </w:tc>
      </w:tr>
      <w:tr w:rsidTr="001F6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rPr>
                <w:rStyle w:val="SpecialBold"/>
              </w:rPr>
              <w:t>6.2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t>Relevant documentation is maintained in accordance with legislative requirements and workplace procedures</w:t>
            </w:r>
          </w:p>
        </w:tc>
      </w:tr>
      <w:tr w:rsidTr="001F6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73">
            <w:pPr>
              <w:pStyle w:val="BodyText"/>
              <w:rPr>
                <w:lang w:val="en-NZ"/>
              </w:rPr>
            </w:pPr>
            <w:r w:rsidRPr="001F6773">
              <w:rPr>
                <w:rStyle w:val="SpecialBold"/>
              </w:rPr>
              <w:t>6.3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 w:rsidP="001F6773">
            <w:pPr>
              <w:pStyle w:val="BodyText"/>
            </w:pPr>
            <w:r w:rsidRPr="001F6773">
              <w:t>Incidents that infringe or breach workplace procedures are acted on, reported and recorded in accordance with legislative requirements and work</w:t>
            </w:r>
            <w:r w:rsidRPr="001F6773">
              <w:t>place procedures</w:t>
            </w:r>
          </w:p>
        </w:tc>
      </w:tr>
    </w:tbl>
    <w:p w:rsidR="00000000" w:rsidRPr="001F6773" w:rsidP="001F6773">
      <w:pPr>
        <w:pStyle w:val="NoPaddingFontSize1"/>
      </w:pPr>
    </w:p>
    <w:p w:rsidR="00000000" w:rsidRPr="001F6773" w:rsidP="001F6773">
      <w:pPr>
        <w:pStyle w:val="AllowPageBreak"/>
      </w:pPr>
    </w:p>
    <w:p w:rsidR="00000000" w:rsidRPr="001F6773" w:rsidP="001F6773">
      <w:pPr>
        <w:pStyle w:val="Heading1"/>
      </w:pPr>
      <w:bookmarkStart w:id="7" w:name="O_1297296"/>
      <w:bookmarkEnd w:id="7"/>
      <w:r w:rsidRPr="001F6773">
        <w:t>Foundation Skills</w:t>
      </w:r>
    </w:p>
    <w:p w:rsidR="00000000" w:rsidRPr="001F6773" w:rsidP="001F6773">
      <w:pPr>
        <w:pStyle w:val="Heading1"/>
      </w:pPr>
      <w:bookmarkStart w:id="8" w:name="O_1297297"/>
      <w:bookmarkEnd w:id="8"/>
      <w:r w:rsidRPr="001F677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6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 w:rsidP="001F6773">
            <w:pPr>
              <w:pStyle w:val="BodyText"/>
            </w:pPr>
            <w:r w:rsidRPr="001F6773">
              <w:t>Range is restricted to essential operating conditions and any other variables essential to the work environment.</w:t>
            </w:r>
          </w:p>
          <w:p w:rsidR="00000000" w:rsidRPr="001F6773" w:rsidP="001F6773">
            <w:pPr>
              <w:pStyle w:val="BodyText"/>
            </w:pPr>
            <w:r w:rsidRPr="001F6773">
              <w:t>Non-essential conditions may be found in the Comp</w:t>
            </w:r>
            <w:r w:rsidRPr="001F6773">
              <w:t>anion Volume Implementation Guide</w:t>
            </w:r>
          </w:p>
        </w:tc>
      </w:tr>
    </w:tbl>
    <w:p w:rsidR="00000000" w:rsidRPr="001F6773" w:rsidP="001F6773">
      <w:pPr>
        <w:pStyle w:val="NoPaddingFontSize1"/>
      </w:pPr>
    </w:p>
    <w:p w:rsidR="00000000" w:rsidRPr="001F6773" w:rsidP="001F6773">
      <w:pPr>
        <w:pStyle w:val="AllowPageBreak"/>
      </w:pPr>
    </w:p>
    <w:p w:rsidR="00000000" w:rsidRPr="001F6773" w:rsidP="001F6773">
      <w:pPr>
        <w:pStyle w:val="Heading1"/>
      </w:pPr>
      <w:bookmarkStart w:id="9" w:name="O_1297298"/>
      <w:bookmarkEnd w:id="9"/>
      <w:r w:rsidRPr="001F677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6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73" w:rsidP="001F6773">
            <w:pPr>
              <w:pStyle w:val="BodyText"/>
            </w:pPr>
            <w:r w:rsidRPr="001F6773">
              <w:t>This unit replaces and is not equivalent to AVIO0007 Control access to and exit from a security sensitive area.</w:t>
            </w:r>
          </w:p>
          <w:p w:rsidR="00000000" w:rsidRPr="001F6773" w:rsidP="001F6773">
            <w:pPr>
              <w:pStyle w:val="BodyText"/>
            </w:pPr>
            <w:r w:rsidRPr="001F6773">
              <w:t>This unit replaces and is not equivalent to AVIO0008 Establish and maintain a sterile sensitive area.</w:t>
            </w:r>
          </w:p>
        </w:tc>
      </w:tr>
    </w:tbl>
    <w:p w:rsidR="00000000" w:rsidRPr="001F6773" w:rsidP="001F6773">
      <w:pPr>
        <w:pStyle w:val="NoPaddingFontSize1"/>
      </w:pPr>
    </w:p>
    <w:p w:rsidR="00000000" w:rsidRPr="001F6773" w:rsidP="001F6773">
      <w:pPr>
        <w:pStyle w:val="AllowPageBreak"/>
      </w:pPr>
    </w:p>
    <w:p w:rsidR="00000000" w:rsidRPr="001F6773" w:rsidP="001F6773">
      <w:pPr>
        <w:pStyle w:val="Heading1"/>
      </w:pPr>
      <w:bookmarkStart w:id="10" w:name="O_1297305"/>
      <w:bookmarkEnd w:id="10"/>
      <w:r w:rsidRPr="001F6773">
        <w:t>Links</w:t>
      </w:r>
    </w:p>
    <w:p w:rsidR="00000000" w:rsidRPr="001F6773" w:rsidP="007051A8">
      <w:pPr>
        <w:pStyle w:val="BodyText"/>
      </w:pPr>
      <w:r w:rsidRPr="001F6773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A05FD7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1F6773" w:rsidP="001F6773"/>
    <w:sectPr w:rsidSect="001F67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7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773" w:rsidRPr="007051A8" w:rsidP="007051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7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1A8" w:rsidP="001F67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51A8" w:rsidP="001F67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051A8" w:rsidP="001F67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7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1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6773" w:rsidRPr="007051A8" w:rsidP="007051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7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1A8" w:rsidRPr="002D2AF8" w:rsidP="001F67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AVIO0033 Establish secure areas and manage access control points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7051A8" w:rsidP="001F67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7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67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67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67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67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67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67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67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67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67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67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6773"/>
  </w:style>
  <w:style w:type="character" w:customStyle="1" w:styleId="Heading1Char">
    <w:name w:val="Heading 1 Char"/>
    <w:basedOn w:val="DefaultParagraphFont"/>
    <w:link w:val="Heading1"/>
    <w:rsid w:val="001F67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67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677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F6773"/>
    <w:rPr>
      <w:b/>
      <w:spacing w:val="0"/>
    </w:rPr>
  </w:style>
  <w:style w:type="paragraph" w:customStyle="1" w:styleId="SuperHeading">
    <w:name w:val="SuperHeading"/>
    <w:basedOn w:val="Normal"/>
    <w:rsid w:val="001F67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67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F67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67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67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67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67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67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67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67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67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67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67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67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67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67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67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67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67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67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67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677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F67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67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67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67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677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67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67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67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67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67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67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67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67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67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6773"/>
    <w:rPr>
      <w:i/>
    </w:rPr>
  </w:style>
  <w:style w:type="paragraph" w:styleId="Caption">
    <w:name w:val="caption"/>
    <w:basedOn w:val="BodyText"/>
    <w:next w:val="Normal"/>
    <w:qFormat/>
    <w:rsid w:val="001F67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67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67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6773"/>
  </w:style>
  <w:style w:type="paragraph" w:styleId="TableofFigures">
    <w:name w:val="table of figures"/>
    <w:basedOn w:val="Normal"/>
    <w:next w:val="Normal"/>
    <w:semiHidden/>
    <w:rsid w:val="001F67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677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F6773"/>
    <w:rPr>
      <w:rFonts w:ascii="Wingdings" w:hAnsi="Wingdings"/>
    </w:rPr>
  </w:style>
  <w:style w:type="paragraph" w:customStyle="1" w:styleId="TableHeading">
    <w:name w:val="Table Heading"/>
    <w:basedOn w:val="HeadingBase"/>
    <w:rsid w:val="001F67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6773"/>
    <w:rPr>
      <w:color w:val="0033CC"/>
      <w:u w:val="none"/>
    </w:rPr>
  </w:style>
  <w:style w:type="paragraph" w:customStyle="1" w:styleId="BodyTextRight">
    <w:name w:val="Body Text Right"/>
    <w:basedOn w:val="BodyText"/>
    <w:rsid w:val="001F67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67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67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67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67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67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6773"/>
    <w:rPr>
      <w:sz w:val="32"/>
    </w:rPr>
  </w:style>
  <w:style w:type="paragraph" w:customStyle="1" w:styleId="HeadingProcedure">
    <w:name w:val="Heading Procedure"/>
    <w:basedOn w:val="HeadingBase"/>
    <w:next w:val="Normal"/>
    <w:rsid w:val="001F67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6773"/>
    <w:pPr>
      <w:spacing w:before="60" w:after="60"/>
    </w:pPr>
  </w:style>
  <w:style w:type="paragraph" w:styleId="ListContinue">
    <w:name w:val="List Continue"/>
    <w:basedOn w:val="List"/>
    <w:rsid w:val="001F6773"/>
    <w:pPr>
      <w:ind w:firstLine="0"/>
    </w:pPr>
  </w:style>
  <w:style w:type="paragraph" w:customStyle="1" w:styleId="ListNote">
    <w:name w:val="List Note"/>
    <w:basedOn w:val="List"/>
    <w:rsid w:val="001F67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67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67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6773"/>
    <w:rPr>
      <w:rFonts w:ascii="Courier New" w:hAnsi="Courier New"/>
    </w:rPr>
  </w:style>
  <w:style w:type="paragraph" w:customStyle="1" w:styleId="NoteBullet">
    <w:name w:val="Note Bullet"/>
    <w:basedOn w:val="Note"/>
    <w:rsid w:val="001F67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67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67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67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677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F67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67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6773"/>
    <w:rPr>
      <w:b/>
      <w:smallCaps/>
    </w:rPr>
  </w:style>
  <w:style w:type="paragraph" w:customStyle="1" w:styleId="TableListNumber">
    <w:name w:val="Table List Number"/>
    <w:basedOn w:val="ListNumber"/>
    <w:rsid w:val="001F67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67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6773"/>
    <w:pPr>
      <w:numPr>
        <w:numId w:val="7"/>
      </w:numPr>
    </w:pPr>
  </w:style>
  <w:style w:type="paragraph" w:customStyle="1" w:styleId="ListAlpha2">
    <w:name w:val="List Alpha 2"/>
    <w:basedOn w:val="List2"/>
    <w:rsid w:val="001F6773"/>
    <w:pPr>
      <w:numPr>
        <w:numId w:val="6"/>
      </w:numPr>
    </w:pPr>
  </w:style>
  <w:style w:type="paragraph" w:styleId="List2">
    <w:name w:val="List 2"/>
    <w:basedOn w:val="BodyText"/>
    <w:rsid w:val="001F67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67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67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67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677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67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F6773"/>
    <w:pPr>
      <w:numPr>
        <w:numId w:val="2"/>
      </w:numPr>
    </w:pPr>
  </w:style>
  <w:style w:type="paragraph" w:styleId="ListContinue2">
    <w:name w:val="List Continue 2"/>
    <w:basedOn w:val="List2"/>
    <w:rsid w:val="001F6773"/>
    <w:pPr>
      <w:ind w:firstLine="0"/>
    </w:pPr>
  </w:style>
  <w:style w:type="paragraph" w:styleId="ListContinue3">
    <w:name w:val="List Continue 3"/>
    <w:basedOn w:val="List3"/>
    <w:rsid w:val="001F6773"/>
    <w:pPr>
      <w:ind w:left="1021" w:firstLine="0"/>
    </w:pPr>
  </w:style>
  <w:style w:type="paragraph" w:styleId="ListContinue4">
    <w:name w:val="List Continue 4"/>
    <w:basedOn w:val="List4"/>
    <w:rsid w:val="001F6773"/>
    <w:pPr>
      <w:ind w:firstLine="0"/>
    </w:pPr>
  </w:style>
  <w:style w:type="paragraph" w:styleId="ListContinue5">
    <w:name w:val="List Continue 5"/>
    <w:basedOn w:val="List5"/>
    <w:rsid w:val="001F6773"/>
    <w:pPr>
      <w:ind w:firstLine="0"/>
    </w:pPr>
  </w:style>
  <w:style w:type="paragraph" w:styleId="ListNumber3">
    <w:name w:val="List Number 3"/>
    <w:basedOn w:val="List3"/>
    <w:rsid w:val="001F6773"/>
    <w:pPr>
      <w:numPr>
        <w:numId w:val="3"/>
      </w:numPr>
    </w:pPr>
  </w:style>
  <w:style w:type="paragraph" w:styleId="ListNumber4">
    <w:name w:val="List Number 4"/>
    <w:basedOn w:val="List4"/>
    <w:rsid w:val="001F6773"/>
    <w:pPr>
      <w:numPr>
        <w:numId w:val="4"/>
      </w:numPr>
    </w:pPr>
  </w:style>
  <w:style w:type="paragraph" w:styleId="ListNumber5">
    <w:name w:val="List Number 5"/>
    <w:basedOn w:val="List5"/>
    <w:rsid w:val="001F6773"/>
    <w:pPr>
      <w:numPr>
        <w:numId w:val="5"/>
      </w:numPr>
    </w:pPr>
  </w:style>
  <w:style w:type="paragraph" w:styleId="BlockText">
    <w:name w:val="Block Text"/>
    <w:basedOn w:val="Normal"/>
    <w:rsid w:val="001F67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67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6773"/>
    <w:rPr>
      <w:sz w:val="16"/>
      <w:vertAlign w:val="superscript"/>
    </w:rPr>
  </w:style>
  <w:style w:type="character" w:customStyle="1" w:styleId="Symbols">
    <w:name w:val="Symbols"/>
    <w:basedOn w:val="DefaultParagraphFont"/>
    <w:rsid w:val="001F6773"/>
    <w:rPr>
      <w:rFonts w:ascii="Symbol" w:hAnsi="Symbol"/>
    </w:rPr>
  </w:style>
  <w:style w:type="character" w:customStyle="1" w:styleId="MenuOptions">
    <w:name w:val="Menu Options"/>
    <w:basedOn w:val="DefaultParagraphFont"/>
    <w:rsid w:val="001F67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6773"/>
    <w:rPr>
      <w:b/>
    </w:rPr>
  </w:style>
  <w:style w:type="character" w:customStyle="1" w:styleId="Underlined">
    <w:name w:val="Underlined"/>
    <w:basedOn w:val="DefaultParagraphFont"/>
    <w:rsid w:val="001F6773"/>
    <w:rPr>
      <w:u w:val="single"/>
    </w:rPr>
  </w:style>
  <w:style w:type="paragraph" w:customStyle="1" w:styleId="TableBodyTextRight">
    <w:name w:val="Table Body Text Right"/>
    <w:basedOn w:val="TableBodyText"/>
    <w:rsid w:val="001F67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6773"/>
    <w:rPr>
      <w:sz w:val="18"/>
    </w:rPr>
  </w:style>
  <w:style w:type="paragraph" w:customStyle="1" w:styleId="BodySmallRight">
    <w:name w:val="Body Small Right"/>
    <w:basedOn w:val="BodyTextRight"/>
    <w:rsid w:val="001F6773"/>
    <w:rPr>
      <w:sz w:val="18"/>
      <w:szCs w:val="18"/>
    </w:rPr>
  </w:style>
  <w:style w:type="paragraph" w:customStyle="1" w:styleId="MarginEdition">
    <w:name w:val="Margin Edition"/>
    <w:basedOn w:val="MarginNote"/>
    <w:rsid w:val="001F67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6773"/>
    <w:rPr>
      <w:sz w:val="2"/>
      <w:szCs w:val="2"/>
    </w:rPr>
  </w:style>
  <w:style w:type="character" w:customStyle="1" w:styleId="Small">
    <w:name w:val="Small"/>
    <w:basedOn w:val="DefaultParagraphFont"/>
    <w:rsid w:val="001F6773"/>
    <w:rPr>
      <w:sz w:val="16"/>
    </w:rPr>
  </w:style>
  <w:style w:type="paragraph" w:customStyle="1" w:styleId="WideTable">
    <w:name w:val="Wide Table"/>
    <w:basedOn w:val="Normal"/>
    <w:rsid w:val="001F67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6773"/>
  </w:style>
  <w:style w:type="paragraph" w:styleId="Quote">
    <w:name w:val="Quote"/>
    <w:basedOn w:val="Heading1"/>
    <w:link w:val="QuoteChar"/>
    <w:qFormat/>
    <w:rsid w:val="001F67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67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6773"/>
    <w:pPr>
      <w:pageBreakBefore/>
    </w:pPr>
  </w:style>
  <w:style w:type="paragraph" w:customStyle="1" w:styleId="Border">
    <w:name w:val="Border"/>
    <w:basedOn w:val="Normal"/>
    <w:qFormat/>
    <w:rsid w:val="001F67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67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7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7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67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67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67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67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67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6773"/>
    <w:rPr>
      <w:u w:val="single"/>
    </w:rPr>
  </w:style>
  <w:style w:type="character" w:customStyle="1" w:styleId="BoldandItalics">
    <w:name w:val="Bold and Italics"/>
    <w:qFormat/>
    <w:rsid w:val="001F6773"/>
    <w:rPr>
      <w:b/>
      <w:i/>
      <w:u w:val="none"/>
    </w:rPr>
  </w:style>
  <w:style w:type="paragraph" w:styleId="BalloonText">
    <w:name w:val="Balloon Text"/>
    <w:basedOn w:val="Normal"/>
    <w:link w:val="BalloonTextChar"/>
    <w:rsid w:val="001F67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67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67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67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67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67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6773"/>
    <w:pPr>
      <w:spacing w:before="0" w:after="0"/>
    </w:pPr>
  </w:style>
  <w:style w:type="paragraph" w:customStyle="1" w:styleId="BodyTextBold">
    <w:name w:val="Body Text Bold"/>
    <w:basedOn w:val="BodyText"/>
    <w:qFormat/>
    <w:rsid w:val="001F6773"/>
    <w:rPr>
      <w:b/>
    </w:rPr>
  </w:style>
  <w:style w:type="character" w:styleId="Hyperlink">
    <w:name w:val="Hyperlink"/>
    <w:basedOn w:val="DefaultParagraphFont"/>
    <w:uiPriority w:val="99"/>
    <w:unhideWhenUsed/>
    <w:rsid w:val="007051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743</Words>
  <Characters>4750</Characters>
  <Application>Microsoft Office Word</Application>
  <DocSecurity>0</DocSecurity>
  <Lines>206</Lines>
  <Paragraphs>101</Paragraphs>
  <ScaleCrop>false</ScaleCrop>
  <Company>Author-it Software Corporation Ltd.</Company>
  <LinksUpToDate>false</LinksUpToDate>
  <CharactersWithSpaces>5392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AVIO0033 Establish secure areas and manage access control points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2025-05-28T03:26:00Z</dcterms:created>
  <dcterms:modified xsi:type="dcterms:W3CDTF">2025-05-28T03:26:00Z</dcterms:modified>
</cp:coreProperties>
</file>