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B2A" w:rsidP="00C11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AVIO0031 Conduct secondary screening of persons</w:t>
      </w:r>
      <w:r>
        <w:fldChar w:fldCharType="end"/>
      </w:r>
    </w:p>
    <w:p w:rsidR="00C11B2A" w:rsidP="00C11B2A">
      <w:pPr>
        <w:pStyle w:val="Version"/>
        <w:sectPr w:rsidSect="00C03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766" w:rsidP="00C03766">
      <w:pPr>
        <w:pStyle w:val="SuperHeading"/>
      </w:pPr>
      <w:r w:rsidRPr="00C03766">
        <w:t>AVIO0031 Conduct secondary screening of persons</w:t>
      </w:r>
    </w:p>
    <w:p w:rsidR="00000000" w:rsidRPr="00C03766" w:rsidP="00C03766">
      <w:pPr>
        <w:pStyle w:val="Heading1"/>
      </w:pPr>
      <w:bookmarkStart w:id="1" w:name="O_1297252"/>
      <w:bookmarkEnd w:id="1"/>
      <w:r w:rsidRPr="00C037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t>Release 1. This is the first release of this unit of competency in the AVI Aviation Training Package.</w:t>
            </w:r>
          </w:p>
        </w:tc>
      </w:tr>
    </w:tbl>
    <w:p w:rsidR="00000000" w:rsidRPr="00C03766" w:rsidP="00C03766">
      <w:pPr>
        <w:pStyle w:val="NoPaddingFontSize1"/>
      </w:pPr>
    </w:p>
    <w:p w:rsidR="00000000" w:rsidRPr="00C03766" w:rsidP="00C03766">
      <w:pPr>
        <w:pStyle w:val="AllowPageBreak"/>
      </w:pPr>
    </w:p>
    <w:p w:rsidR="00000000" w:rsidRPr="00C03766" w:rsidP="00C03766">
      <w:pPr>
        <w:pStyle w:val="Heading1"/>
      </w:pPr>
      <w:bookmarkStart w:id="2" w:name="O_1297253"/>
      <w:bookmarkEnd w:id="2"/>
      <w:r w:rsidRPr="00C037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t>This unit involves the skills and knowledge required to conduct secondary screening of pers</w:t>
            </w:r>
            <w:r w:rsidRPr="00C03766">
              <w:t>ons, in compliance with relevant transport security regulatory requirements.</w:t>
            </w:r>
          </w:p>
          <w:p w:rsidR="00000000" w:rsidRPr="00C03766" w:rsidP="00C03766">
            <w:pPr>
              <w:pStyle w:val="BodyText"/>
            </w:pPr>
            <w:r w:rsidRPr="00C03766">
              <w:t>It includes preparing and conducting secondary screening of persons. It also includes conducting secondary screening on persons with special circumstances, responding to detection</w:t>
            </w:r>
            <w:r w:rsidRPr="00C03766">
              <w:t xml:space="preserve"> of weapons or prohibited items during secondary screening and maintaining records of screening.</w:t>
            </w:r>
          </w:p>
          <w:p w:rsidR="00000000" w:rsidRPr="00C03766" w:rsidP="00C03766">
            <w:pPr>
              <w:pStyle w:val="BodyText"/>
            </w:pPr>
            <w:r w:rsidRPr="00C03766">
              <w:t>This unit addresses transport security technical skill requirements (physical, mental and task-management abilities) related to transport security duties of av</w:t>
            </w:r>
            <w:r w:rsidRPr="00C03766">
              <w:t>iation and maritime security personnel and contributes to safe and effective performance in operational transport security environments.</w:t>
            </w:r>
          </w:p>
          <w:p w:rsidR="00000000" w:rsidRPr="00C03766" w:rsidP="00C03766">
            <w:pPr>
              <w:pStyle w:val="BodyText"/>
            </w:pPr>
            <w:r w:rsidRPr="00C03766">
              <w:t>Operations are conducted across a variety of operational contexts within the Australian transport security environment.</w:t>
            </w:r>
          </w:p>
          <w:p w:rsidR="00000000" w:rsidRPr="00C03766" w:rsidP="00C03766">
            <w:pPr>
              <w:pStyle w:val="BodyText"/>
            </w:pPr>
            <w:r w:rsidRPr="00C03766">
              <w:t>Licensing, legislative, regulatory or certification requirements are applicable to this unit.</w:t>
            </w:r>
          </w:p>
        </w:tc>
      </w:tr>
    </w:tbl>
    <w:p w:rsidR="00000000" w:rsidRPr="00C03766" w:rsidP="00C03766">
      <w:pPr>
        <w:pStyle w:val="NoPaddingFontSize1"/>
      </w:pPr>
    </w:p>
    <w:p w:rsidR="00000000" w:rsidRPr="00C03766" w:rsidP="00C03766">
      <w:pPr>
        <w:pStyle w:val="AllowPageBreak"/>
      </w:pPr>
    </w:p>
    <w:p w:rsidR="00000000" w:rsidRPr="00C03766" w:rsidP="00C03766">
      <w:pPr>
        <w:pStyle w:val="Heading1"/>
      </w:pPr>
      <w:bookmarkStart w:id="3" w:name="O_1297254"/>
      <w:bookmarkEnd w:id="3"/>
      <w:r w:rsidRPr="00C037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t>Not applicable.</w:t>
            </w:r>
          </w:p>
        </w:tc>
      </w:tr>
    </w:tbl>
    <w:p w:rsidR="00000000" w:rsidRPr="00C03766" w:rsidP="00C03766">
      <w:pPr>
        <w:pStyle w:val="NoPaddingFontSize1"/>
      </w:pPr>
    </w:p>
    <w:p w:rsidR="00000000" w:rsidRPr="00C03766" w:rsidP="00C03766">
      <w:pPr>
        <w:pStyle w:val="AllowPageBreak"/>
      </w:pPr>
    </w:p>
    <w:p w:rsidR="00000000" w:rsidRPr="00C03766" w:rsidP="00C03766">
      <w:pPr>
        <w:pStyle w:val="Heading1"/>
      </w:pPr>
      <w:bookmarkStart w:id="4" w:name="O_1297255"/>
      <w:bookmarkEnd w:id="4"/>
      <w:r w:rsidRPr="00C037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t>O – Security</w:t>
            </w:r>
          </w:p>
        </w:tc>
      </w:tr>
    </w:tbl>
    <w:p w:rsidR="00000000" w:rsidRPr="00C03766" w:rsidP="00C03766">
      <w:pPr>
        <w:pStyle w:val="NoPaddingFontSize1"/>
      </w:pPr>
    </w:p>
    <w:p w:rsidR="00000000" w:rsidRPr="00C03766" w:rsidP="00C03766">
      <w:pPr>
        <w:pStyle w:val="AllowPageBreak"/>
      </w:pPr>
    </w:p>
    <w:p w:rsidR="00000000" w:rsidRPr="00C03766" w:rsidP="00C03766">
      <w:pPr>
        <w:pStyle w:val="Heading1"/>
      </w:pPr>
      <w:bookmarkStart w:id="5" w:name="O_1297256"/>
      <w:bookmarkEnd w:id="5"/>
      <w:r w:rsidRPr="00C037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t>Not applicable.</w:t>
            </w:r>
          </w:p>
        </w:tc>
      </w:tr>
    </w:tbl>
    <w:p w:rsidR="00000000" w:rsidRPr="00C03766" w:rsidP="00C03766">
      <w:pPr>
        <w:pStyle w:val="NoPaddingFontSize1"/>
      </w:pPr>
    </w:p>
    <w:p w:rsidR="00000000" w:rsidRPr="00C03766" w:rsidP="00C03766">
      <w:pPr>
        <w:pStyle w:val="AllowPageBreak"/>
      </w:pPr>
    </w:p>
    <w:p w:rsidR="00000000" w:rsidRPr="00C03766" w:rsidP="00C03766">
      <w:pPr>
        <w:pStyle w:val="Heading1"/>
      </w:pPr>
      <w:bookmarkStart w:id="6" w:name="O_1297257"/>
      <w:bookmarkEnd w:id="6"/>
      <w:r w:rsidRPr="00C0376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58"/>
        <w:gridCol w:w="761"/>
        <w:gridCol w:w="5572"/>
      </w:tblGrid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rPr>
                <w:rStyle w:val="SpecialBold"/>
              </w:rPr>
              <w:t>ELEMENTS</w:t>
            </w:r>
          </w:p>
        </w:tc>
        <w:tc>
          <w:tcPr>
            <w:tcW w:w="6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PERFORMANCE CRITERIA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Elements describe the essential outcomes.</w:t>
            </w:r>
          </w:p>
        </w:tc>
        <w:tc>
          <w:tcPr>
            <w:tcW w:w="6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Performance criteria describe the performance needed to demonstrate achievement of the element.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rPr>
                <w:rStyle w:val="SpecialBold"/>
              </w:rPr>
              <w:t xml:space="preserve">1 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rPr>
                <w:rStyle w:val="SpecialBold"/>
              </w:rPr>
              <w:t xml:space="preserve">Prepare to conduct secondary screening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1.1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Legal powers to conduct secondary screening by frisk search and screening by handheld metal detector, and associated workplace procedures are clarified as required and applied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1.2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Secondary screening is conduc</w:t>
            </w:r>
            <w:r w:rsidRPr="00C03766">
              <w:t>ted on different genders in accordance with legislative requirements and workplace procedures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1.3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Prepare handheld metal detector for use in accordance with manufacturer instructions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1.4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Person to undergo secondary screening is informed that frisk or targeted frisk searches can be intrusive and cover sensitive parts of the body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1.5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When secondary screening is conducted, consent is confirmed and a private screening facility is offered an</w:t>
            </w:r>
            <w:r w:rsidRPr="00C03766">
              <w:t>d identified in accordance with legislative requirements and workplace procedures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1.6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Person being searched is asked to remove bulky over garments and other items in their possession capable of being divested and these garments are separately checked by</w:t>
            </w:r>
            <w:r w:rsidRPr="00C03766">
              <w:t xml:space="preserve"> primary screening processes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rPr>
                <w:rStyle w:val="SpecialBold"/>
              </w:rPr>
              <w:t>2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rPr>
                <w:rStyle w:val="SpecialBold"/>
              </w:rPr>
              <w:t>Conduct secondary screening of persons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2.1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 xml:space="preserve">Secondary screening of a person is carried out using methods and techniques detailed in legislative requirement and workplace procedures 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2.2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Screening is conducted using handheld metal detector in accordance with manufacturer instructions and workplace procedures ensuring the entire body has been scanned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2.3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 xml:space="preserve">When screening is conducted by handheld metal detector, a targeted frisk is used to </w:t>
            </w:r>
            <w:r w:rsidRPr="00C03766">
              <w:t>further investigate alarms, which may include sensitive areas of a person’s body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2.4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 xml:space="preserve">Full frisk search is conducted in accordance with legislative requirement and workplace procedures 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2.5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Unidentified items or positive alarms are responded to by req</w:t>
            </w:r>
            <w:r w:rsidRPr="00C03766">
              <w:t>uesting the person to reveal or remove potential alarm sources and the screening is repeated until all alarms have been investigated and removed items have been screened by alternative means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2.6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When alarm source cannot be resolved, access into the sterile area is denied and a more thorough secondary screening is conducted in a private area in accordance with legislative requirements and workplace procedures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2.7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Work health and safety (WHS)/occ</w:t>
            </w:r>
            <w:r w:rsidRPr="00C03766">
              <w:t>upational health and safety (OHS) principles are followed during secondary screening of persons, in accordance with workplace procedures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2.8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 xml:space="preserve">Customer service principles and standards are applied throughout secondary screening of a person, in accordance </w:t>
            </w:r>
            <w:r w:rsidRPr="00C03766">
              <w:t>with workplace procedures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2.9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Cleared person is allowed to proceed to sterile area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2.10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Uncleared person is denied access to the sterile area and maybe detained in accordance with legislative requirements and workplace procedures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rPr>
                <w:rStyle w:val="SpecialBold"/>
              </w:rPr>
              <w:t>3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rPr>
                <w:rStyle w:val="SpecialBold"/>
              </w:rPr>
              <w:t>Conduct secondary screening on persons with special circumstances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3.1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Special screening methods and requirements are applied when applying secondary screening of infants and children in accordance with workplace procedures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3.2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 xml:space="preserve">Special screening methods </w:t>
            </w:r>
            <w:r w:rsidRPr="00C03766">
              <w:t>and requirements are applied when conducting secondary screening on people who have a disability or specific needs, in accordance with workplace procedures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rPr>
                <w:rStyle w:val="SpecialBold"/>
              </w:rPr>
              <w:t>4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rPr>
                <w:rStyle w:val="SpecialBold"/>
              </w:rPr>
              <w:t>Respond to detection of weapons or prohibited items during secondary screening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4.1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Person detecte</w:t>
            </w:r>
            <w:r w:rsidRPr="00C03766">
              <w:t>d carrying weapons or prohibited items is detained in accordance with workplace procedures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4.2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Detected prohibited items or weapons are managed in accordance with workplace procedures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4.3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Situation</w:t>
            </w:r>
            <w:r w:rsidRPr="00C03766">
              <w:t>s requiring specialist assistance are identified and reported to relevant persons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4.4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Persons and items in the screening area are monitored to maintain situational awareness and potential risks are promptly responded to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rPr>
                <w:rStyle w:val="SpecialBold"/>
              </w:rPr>
              <w:t>5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rPr>
                <w:rStyle w:val="SpecialBold"/>
              </w:rPr>
              <w:t>Maintain records of screening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5.1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Requirements and processes for maintaining screening records are confirmed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5.2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t>Screening records including written consent to conduct frisk search, are maintained in accordance with workplace procedures</w:t>
            </w:r>
          </w:p>
        </w:tc>
      </w:tr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>
            <w:pPr>
              <w:pStyle w:val="BodyText"/>
              <w:keepLines w:val="0"/>
              <w:spacing w:before="0" w:after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66">
            <w:pPr>
              <w:pStyle w:val="BodyText"/>
              <w:rPr>
                <w:lang w:val="en-NZ"/>
              </w:rPr>
            </w:pPr>
            <w:r w:rsidRPr="00C03766">
              <w:rPr>
                <w:rStyle w:val="SpecialBold"/>
              </w:rPr>
              <w:t>5.3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t>Workplace procedures are followed when a person refuses to undergo secondary screening</w:t>
            </w:r>
          </w:p>
        </w:tc>
      </w:tr>
    </w:tbl>
    <w:p w:rsidR="00000000" w:rsidRPr="00C03766" w:rsidP="00C03766">
      <w:pPr>
        <w:pStyle w:val="NoPaddingFontSize1"/>
      </w:pPr>
    </w:p>
    <w:p w:rsidR="00000000" w:rsidRPr="00C03766" w:rsidP="00C03766">
      <w:pPr>
        <w:pStyle w:val="AllowPageBreak"/>
      </w:pPr>
    </w:p>
    <w:p w:rsidR="00000000" w:rsidRPr="00C03766" w:rsidP="00C03766">
      <w:pPr>
        <w:pStyle w:val="Heading1"/>
      </w:pPr>
      <w:bookmarkStart w:id="7" w:name="O_1297258"/>
      <w:bookmarkEnd w:id="7"/>
      <w:r w:rsidRPr="00C037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t>Foundation skills essential to performance are explicit in the performance criteria of this unit of competency.</w:t>
            </w:r>
          </w:p>
        </w:tc>
      </w:tr>
    </w:tbl>
    <w:p w:rsidR="00000000" w:rsidRPr="00C03766" w:rsidP="00C03766">
      <w:pPr>
        <w:pStyle w:val="NoPaddingFontSize1"/>
      </w:pPr>
    </w:p>
    <w:p w:rsidR="00000000" w:rsidRPr="00C03766" w:rsidP="00C03766">
      <w:pPr>
        <w:pStyle w:val="AllowPageBreak"/>
      </w:pPr>
    </w:p>
    <w:p w:rsidR="00000000" w:rsidRPr="00C03766" w:rsidP="00C03766">
      <w:pPr>
        <w:pStyle w:val="Heading1"/>
      </w:pPr>
      <w:bookmarkStart w:id="8" w:name="O_1297259"/>
      <w:bookmarkEnd w:id="8"/>
      <w:r w:rsidRPr="00C037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t>Range is restricted to essential operating conditions and any other variables essential to the work environment.</w:t>
            </w:r>
          </w:p>
          <w:p w:rsidR="00000000" w:rsidRPr="00C03766" w:rsidP="00C03766">
            <w:pPr>
              <w:pStyle w:val="BodyText"/>
            </w:pPr>
            <w:r w:rsidRPr="00C03766">
              <w:t>Non-essential conditions may be found in the Companion Volume Implementation Guide.</w:t>
            </w:r>
          </w:p>
        </w:tc>
      </w:tr>
    </w:tbl>
    <w:p w:rsidR="00000000" w:rsidRPr="00C03766" w:rsidP="00C03766">
      <w:pPr>
        <w:pStyle w:val="NoPaddingFontSize1"/>
      </w:pPr>
    </w:p>
    <w:p w:rsidR="00000000" w:rsidRPr="00C03766" w:rsidP="00C03766">
      <w:pPr>
        <w:pStyle w:val="AllowPageBreak"/>
      </w:pPr>
    </w:p>
    <w:p w:rsidR="00000000" w:rsidRPr="00C03766" w:rsidP="00C03766">
      <w:pPr>
        <w:pStyle w:val="Heading1"/>
      </w:pPr>
      <w:bookmarkStart w:id="9" w:name="O_1297260"/>
      <w:bookmarkEnd w:id="9"/>
      <w:r w:rsidRPr="00C037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66" w:rsidP="00C03766">
            <w:pPr>
              <w:pStyle w:val="BodyText"/>
            </w:pPr>
            <w:r w:rsidRPr="00C03766">
              <w:t>This unit replaces and is not equivalent to AVIO0004 Conduct frisk search of persons.</w:t>
            </w:r>
          </w:p>
        </w:tc>
      </w:tr>
    </w:tbl>
    <w:p w:rsidR="00000000" w:rsidRPr="00C03766" w:rsidP="00C03766">
      <w:pPr>
        <w:pStyle w:val="NoPaddingFontSize1"/>
      </w:pPr>
    </w:p>
    <w:p w:rsidR="00000000" w:rsidRPr="00C03766" w:rsidP="00C03766">
      <w:pPr>
        <w:pStyle w:val="AllowPageBreak"/>
      </w:pPr>
    </w:p>
    <w:p w:rsidR="00000000" w:rsidRPr="00C03766" w:rsidP="00C03766">
      <w:pPr>
        <w:pStyle w:val="Heading1"/>
      </w:pPr>
      <w:bookmarkStart w:id="10" w:name="O_1297267"/>
      <w:bookmarkEnd w:id="10"/>
      <w:r w:rsidRPr="00C03766">
        <w:t>Links</w:t>
      </w:r>
    </w:p>
    <w:p w:rsidR="00000000" w:rsidRPr="00C03766" w:rsidP="00C11B2A">
      <w:pPr>
        <w:pStyle w:val="BodyText"/>
      </w:pPr>
      <w:r w:rsidRPr="00C03766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6472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03766" w:rsidP="00C03766"/>
    <w:sectPr w:rsidSect="00C037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66" w:rsidRPr="00C11B2A" w:rsidP="00C11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2A" w:rsidP="00C03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B2A" w:rsidP="00C03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11B2A" w:rsidP="00C03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766" w:rsidRPr="00C11B2A" w:rsidP="00C11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2A" w:rsidRPr="002D2AF8" w:rsidP="00C03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AVIO0031 Conduct secondary screening of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C11B2A" w:rsidP="00C03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766"/>
  </w:style>
  <w:style w:type="character" w:customStyle="1" w:styleId="Heading1Char">
    <w:name w:val="Heading 1 Char"/>
    <w:basedOn w:val="DefaultParagraphFont"/>
    <w:link w:val="Heading1"/>
    <w:rsid w:val="00C03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7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7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3766"/>
    <w:rPr>
      <w:b/>
      <w:spacing w:val="0"/>
    </w:rPr>
  </w:style>
  <w:style w:type="paragraph" w:customStyle="1" w:styleId="SuperHeading">
    <w:name w:val="SuperHeading"/>
    <w:basedOn w:val="Normal"/>
    <w:rsid w:val="00C03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3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7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7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3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7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7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766"/>
    <w:rPr>
      <w:i/>
    </w:rPr>
  </w:style>
  <w:style w:type="paragraph" w:styleId="Caption">
    <w:name w:val="caption"/>
    <w:basedOn w:val="BodyText"/>
    <w:next w:val="Normal"/>
    <w:qFormat/>
    <w:rsid w:val="00C03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766"/>
  </w:style>
  <w:style w:type="paragraph" w:styleId="TableofFigures">
    <w:name w:val="table of figures"/>
    <w:basedOn w:val="Normal"/>
    <w:next w:val="Normal"/>
    <w:semiHidden/>
    <w:rsid w:val="00C03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7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3766"/>
    <w:rPr>
      <w:rFonts w:ascii="Wingdings" w:hAnsi="Wingdings"/>
    </w:rPr>
  </w:style>
  <w:style w:type="paragraph" w:customStyle="1" w:styleId="TableHeading">
    <w:name w:val="Table Heading"/>
    <w:basedOn w:val="HeadingBase"/>
    <w:rsid w:val="00C03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766"/>
    <w:rPr>
      <w:color w:val="0033CC"/>
      <w:u w:val="none"/>
    </w:rPr>
  </w:style>
  <w:style w:type="paragraph" w:customStyle="1" w:styleId="BodyTextRight">
    <w:name w:val="Body Text Right"/>
    <w:basedOn w:val="BodyText"/>
    <w:rsid w:val="00C03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7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766"/>
    <w:rPr>
      <w:sz w:val="32"/>
    </w:rPr>
  </w:style>
  <w:style w:type="paragraph" w:customStyle="1" w:styleId="HeadingProcedure">
    <w:name w:val="Heading Procedure"/>
    <w:basedOn w:val="HeadingBase"/>
    <w:next w:val="Normal"/>
    <w:rsid w:val="00C03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766"/>
    <w:pPr>
      <w:spacing w:before="60" w:after="60"/>
    </w:pPr>
  </w:style>
  <w:style w:type="paragraph" w:styleId="ListContinue">
    <w:name w:val="List Continue"/>
    <w:basedOn w:val="List"/>
    <w:rsid w:val="00C03766"/>
    <w:pPr>
      <w:ind w:firstLine="0"/>
    </w:pPr>
  </w:style>
  <w:style w:type="paragraph" w:customStyle="1" w:styleId="ListNote">
    <w:name w:val="List Note"/>
    <w:basedOn w:val="List"/>
    <w:rsid w:val="00C03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766"/>
    <w:rPr>
      <w:rFonts w:ascii="Courier New" w:hAnsi="Courier New"/>
    </w:rPr>
  </w:style>
  <w:style w:type="paragraph" w:customStyle="1" w:styleId="NoteBullet">
    <w:name w:val="Note Bullet"/>
    <w:basedOn w:val="Note"/>
    <w:rsid w:val="00C03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7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3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766"/>
    <w:rPr>
      <w:b/>
      <w:smallCaps/>
    </w:rPr>
  </w:style>
  <w:style w:type="paragraph" w:customStyle="1" w:styleId="TableListNumber">
    <w:name w:val="Table List Number"/>
    <w:basedOn w:val="ListNumber"/>
    <w:rsid w:val="00C03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766"/>
    <w:pPr>
      <w:numPr>
        <w:numId w:val="7"/>
      </w:numPr>
    </w:pPr>
  </w:style>
  <w:style w:type="paragraph" w:customStyle="1" w:styleId="ListAlpha2">
    <w:name w:val="List Alpha 2"/>
    <w:basedOn w:val="List2"/>
    <w:rsid w:val="00C03766"/>
    <w:pPr>
      <w:numPr>
        <w:numId w:val="6"/>
      </w:numPr>
    </w:pPr>
  </w:style>
  <w:style w:type="paragraph" w:styleId="List2">
    <w:name w:val="List 2"/>
    <w:basedOn w:val="BodyText"/>
    <w:rsid w:val="00C03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7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7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3766"/>
    <w:pPr>
      <w:numPr>
        <w:numId w:val="2"/>
      </w:numPr>
    </w:pPr>
  </w:style>
  <w:style w:type="paragraph" w:styleId="ListContinue2">
    <w:name w:val="List Continue 2"/>
    <w:basedOn w:val="List2"/>
    <w:rsid w:val="00C03766"/>
    <w:pPr>
      <w:ind w:firstLine="0"/>
    </w:pPr>
  </w:style>
  <w:style w:type="paragraph" w:styleId="ListContinue3">
    <w:name w:val="List Continue 3"/>
    <w:basedOn w:val="List3"/>
    <w:rsid w:val="00C03766"/>
    <w:pPr>
      <w:ind w:left="1021" w:firstLine="0"/>
    </w:pPr>
  </w:style>
  <w:style w:type="paragraph" w:styleId="ListContinue4">
    <w:name w:val="List Continue 4"/>
    <w:basedOn w:val="List4"/>
    <w:rsid w:val="00C03766"/>
    <w:pPr>
      <w:ind w:firstLine="0"/>
    </w:pPr>
  </w:style>
  <w:style w:type="paragraph" w:styleId="ListContinue5">
    <w:name w:val="List Continue 5"/>
    <w:basedOn w:val="List5"/>
    <w:rsid w:val="00C03766"/>
    <w:pPr>
      <w:ind w:firstLine="0"/>
    </w:pPr>
  </w:style>
  <w:style w:type="paragraph" w:styleId="ListNumber3">
    <w:name w:val="List Number 3"/>
    <w:basedOn w:val="List3"/>
    <w:rsid w:val="00C03766"/>
    <w:pPr>
      <w:numPr>
        <w:numId w:val="3"/>
      </w:numPr>
    </w:pPr>
  </w:style>
  <w:style w:type="paragraph" w:styleId="ListNumber4">
    <w:name w:val="List Number 4"/>
    <w:basedOn w:val="List4"/>
    <w:rsid w:val="00C03766"/>
    <w:pPr>
      <w:numPr>
        <w:numId w:val="4"/>
      </w:numPr>
    </w:pPr>
  </w:style>
  <w:style w:type="paragraph" w:styleId="ListNumber5">
    <w:name w:val="List Number 5"/>
    <w:basedOn w:val="List5"/>
    <w:rsid w:val="00C03766"/>
    <w:pPr>
      <w:numPr>
        <w:numId w:val="5"/>
      </w:numPr>
    </w:pPr>
  </w:style>
  <w:style w:type="paragraph" w:styleId="BlockText">
    <w:name w:val="Block Text"/>
    <w:basedOn w:val="Normal"/>
    <w:rsid w:val="00C03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766"/>
    <w:rPr>
      <w:sz w:val="16"/>
      <w:vertAlign w:val="superscript"/>
    </w:rPr>
  </w:style>
  <w:style w:type="character" w:customStyle="1" w:styleId="Symbols">
    <w:name w:val="Symbols"/>
    <w:basedOn w:val="DefaultParagraphFont"/>
    <w:rsid w:val="00C03766"/>
    <w:rPr>
      <w:rFonts w:ascii="Symbol" w:hAnsi="Symbol"/>
    </w:rPr>
  </w:style>
  <w:style w:type="character" w:customStyle="1" w:styleId="MenuOptions">
    <w:name w:val="Menu Options"/>
    <w:basedOn w:val="DefaultParagraphFont"/>
    <w:rsid w:val="00C03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766"/>
    <w:rPr>
      <w:b/>
    </w:rPr>
  </w:style>
  <w:style w:type="character" w:customStyle="1" w:styleId="Underlined">
    <w:name w:val="Underlined"/>
    <w:basedOn w:val="DefaultParagraphFont"/>
    <w:rsid w:val="00C03766"/>
    <w:rPr>
      <w:u w:val="single"/>
    </w:rPr>
  </w:style>
  <w:style w:type="paragraph" w:customStyle="1" w:styleId="TableBodyTextRight">
    <w:name w:val="Table Body Text Right"/>
    <w:basedOn w:val="TableBodyText"/>
    <w:rsid w:val="00C03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766"/>
    <w:rPr>
      <w:sz w:val="18"/>
    </w:rPr>
  </w:style>
  <w:style w:type="paragraph" w:customStyle="1" w:styleId="BodySmallRight">
    <w:name w:val="Body Small Right"/>
    <w:basedOn w:val="BodyTextRight"/>
    <w:rsid w:val="00C03766"/>
    <w:rPr>
      <w:sz w:val="18"/>
      <w:szCs w:val="18"/>
    </w:rPr>
  </w:style>
  <w:style w:type="paragraph" w:customStyle="1" w:styleId="MarginEdition">
    <w:name w:val="Margin Edition"/>
    <w:basedOn w:val="MarginNote"/>
    <w:rsid w:val="00C03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766"/>
    <w:rPr>
      <w:sz w:val="2"/>
      <w:szCs w:val="2"/>
    </w:rPr>
  </w:style>
  <w:style w:type="character" w:customStyle="1" w:styleId="Small">
    <w:name w:val="Small"/>
    <w:basedOn w:val="DefaultParagraphFont"/>
    <w:rsid w:val="00C03766"/>
    <w:rPr>
      <w:sz w:val="16"/>
    </w:rPr>
  </w:style>
  <w:style w:type="paragraph" w:customStyle="1" w:styleId="WideTable">
    <w:name w:val="Wide Table"/>
    <w:basedOn w:val="Normal"/>
    <w:rsid w:val="00C03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766"/>
  </w:style>
  <w:style w:type="paragraph" w:styleId="Quote">
    <w:name w:val="Quote"/>
    <w:basedOn w:val="Heading1"/>
    <w:link w:val="QuoteChar"/>
    <w:qFormat/>
    <w:rsid w:val="00C03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766"/>
    <w:pPr>
      <w:pageBreakBefore/>
    </w:pPr>
  </w:style>
  <w:style w:type="paragraph" w:customStyle="1" w:styleId="Border">
    <w:name w:val="Border"/>
    <w:basedOn w:val="Normal"/>
    <w:qFormat/>
    <w:rsid w:val="00C03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766"/>
    <w:rPr>
      <w:u w:val="single"/>
    </w:rPr>
  </w:style>
  <w:style w:type="character" w:customStyle="1" w:styleId="BoldandItalics">
    <w:name w:val="Bold and Italics"/>
    <w:qFormat/>
    <w:rsid w:val="00C03766"/>
    <w:rPr>
      <w:b/>
      <w:i/>
      <w:u w:val="none"/>
    </w:rPr>
  </w:style>
  <w:style w:type="paragraph" w:styleId="BalloonText">
    <w:name w:val="Balloon Text"/>
    <w:basedOn w:val="Normal"/>
    <w:link w:val="BalloonTextChar"/>
    <w:rsid w:val="00C03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7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7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766"/>
    <w:pPr>
      <w:spacing w:before="0" w:after="0"/>
    </w:pPr>
  </w:style>
  <w:style w:type="paragraph" w:customStyle="1" w:styleId="BodyTextBold">
    <w:name w:val="Body Text Bold"/>
    <w:basedOn w:val="BodyText"/>
    <w:qFormat/>
    <w:rsid w:val="00C03766"/>
    <w:rPr>
      <w:b/>
    </w:rPr>
  </w:style>
  <w:style w:type="character" w:styleId="Hyperlink">
    <w:name w:val="Hyperlink"/>
    <w:basedOn w:val="DefaultParagraphFont"/>
    <w:uiPriority w:val="99"/>
    <w:unhideWhenUsed/>
    <w:rsid w:val="00C11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5365</Characters>
  <Application>Microsoft Office Word</Application>
  <DocSecurity>0</DocSecurity>
  <Lines>243</Lines>
  <Paragraphs>109</Paragraphs>
  <ScaleCrop>false</ScaleCrop>
  <Company>Author-it Software Corporation Ltd.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AVIO0031 Conduct secondary screening of persons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2025-05-28T03:23:00Z</dcterms:created>
  <dcterms:modified xsi:type="dcterms:W3CDTF">2025-05-28T03:23:00Z</dcterms:modified>
</cp:coreProperties>
</file>