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7FB" w:rsidP="004437FB">
      <w:pPr>
        <w:pStyle w:val="Title"/>
      </w:pPr>
      <w:r>
        <w:fldChar w:fldCharType="begin"/>
      </w:r>
      <w:r>
        <w:instrText xml:space="preserve"> TITLE   \* MERGEFORMAT </w:instrText>
      </w:r>
      <w:r>
        <w:fldChar w:fldCharType="separate"/>
      </w:r>
      <w:r>
        <w:t>AVIO0031 Conduct secondary screening of persons</w:t>
      </w:r>
      <w:r>
        <w:fldChar w:fldCharType="end"/>
      </w:r>
    </w:p>
    <w:p w:rsidR="004437FB" w:rsidP="004437FB">
      <w:pPr>
        <w:pStyle w:val="Version"/>
        <w:sectPr w:rsidSect="000D4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C2F" w:rsidP="000D4C2F">
      <w:pPr>
        <w:pStyle w:val="SuperHeading"/>
      </w:pPr>
      <w:r w:rsidRPr="000D4C2F">
        <w:t>AVIO0031 Conduct secondary screening of persons</w:t>
      </w:r>
    </w:p>
    <w:p w:rsidR="00000000" w:rsidRPr="000D4C2F" w:rsidP="000D4C2F">
      <w:pPr>
        <w:pStyle w:val="Heading1"/>
      </w:pPr>
      <w:bookmarkStart w:id="1" w:name="O_1297252"/>
      <w:bookmarkEnd w:id="1"/>
      <w:r w:rsidRPr="000D4C2F">
        <w:t>Modification History</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Release 1. This is the first release of this unit of competency in the AVI Aviation Training Package.</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2" w:name="O_1297253"/>
      <w:bookmarkEnd w:id="2"/>
      <w:r w:rsidRPr="000D4C2F">
        <w:t>Application</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This unit involves the skills and knowledge required to conduct secondary screening of pers</w:t>
            </w:r>
            <w:r w:rsidRPr="000D4C2F">
              <w:t>ons, in compliance with relevant transport security regulatory requirements.</w:t>
            </w:r>
          </w:p>
          <w:p w:rsidR="00000000" w:rsidRPr="000D4C2F" w:rsidP="000D4C2F">
            <w:pPr>
              <w:pStyle w:val="BodyText"/>
            </w:pPr>
            <w:r w:rsidRPr="000D4C2F">
              <w:t>It includes preparing and conducting secondary screening of persons. It also includes conducting secondary screening on persons with special circumstances, responding to detection</w:t>
            </w:r>
            <w:r w:rsidRPr="000D4C2F">
              <w:t xml:space="preserve"> of weapons or prohibited items during secondary screening and maintaining records of screening.</w:t>
            </w:r>
          </w:p>
          <w:p w:rsidR="00000000" w:rsidRPr="000D4C2F" w:rsidP="000D4C2F">
            <w:pPr>
              <w:pStyle w:val="BodyText"/>
            </w:pPr>
            <w:r w:rsidRPr="000D4C2F">
              <w:t>This unit addresses transport security technical skill requirements (physical, mental and task-management abilities) related to transport security duties of av</w:t>
            </w:r>
            <w:r w:rsidRPr="000D4C2F">
              <w:t>iation and maritime security personnel and contributes to safe and effective performance in operational transport security environments.</w:t>
            </w:r>
          </w:p>
          <w:p w:rsidR="00000000" w:rsidRPr="000D4C2F" w:rsidP="000D4C2F">
            <w:pPr>
              <w:pStyle w:val="BodyText"/>
            </w:pPr>
            <w:r w:rsidRPr="000D4C2F">
              <w:t>Operations are conducted across a variety of operational contexts within the Australian transport security environment.</w:t>
            </w:r>
          </w:p>
          <w:p w:rsidR="00000000" w:rsidRPr="000D4C2F" w:rsidP="000D4C2F">
            <w:pPr>
              <w:pStyle w:val="BodyText"/>
            </w:pPr>
            <w:r w:rsidRPr="000D4C2F">
              <w:t>Licensing, legislative, regulatory or certification requirements are applicable to this unit.</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3" w:name="O_1297254"/>
      <w:bookmarkEnd w:id="3"/>
      <w:r w:rsidRPr="000D4C2F">
        <w:t>Pre-requisite Unit</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Not applicable.</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4" w:name="O_1297255"/>
      <w:bookmarkEnd w:id="4"/>
      <w:r w:rsidRPr="000D4C2F">
        <w:t>Competency Field</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O – Security</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5" w:name="O_1297256"/>
      <w:bookmarkEnd w:id="5"/>
      <w:r w:rsidRPr="000D4C2F">
        <w:t>Unit Sector</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Not applicable.</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6" w:name="O_1297257"/>
      <w:bookmarkEnd w:id="6"/>
      <w:r w:rsidRPr="000D4C2F">
        <w:t>Elements and Performance Criteria</w:t>
      </w:r>
    </w:p>
    <w:tbl>
      <w:tblPr>
        <w:tblW w:w="9497" w:type="dxa"/>
        <w:tblLayout w:type="fixed"/>
        <w:tblCellMar>
          <w:left w:w="62" w:type="dxa"/>
          <w:right w:w="62" w:type="dxa"/>
        </w:tblCellMar>
        <w:tblLook w:val="0000"/>
      </w:tblPr>
      <w:tblGrid>
        <w:gridCol w:w="406"/>
        <w:gridCol w:w="2758"/>
        <w:gridCol w:w="761"/>
        <w:gridCol w:w="5572"/>
      </w:tblGrid>
      <w:tr w:rsidTr="000D4C2F">
        <w:tblPrEx>
          <w:tblW w:w="9497" w:type="dxa"/>
          <w:tblLayout w:type="fixed"/>
          <w:tblCellMar>
            <w:left w:w="62" w:type="dxa"/>
            <w:right w:w="62" w:type="dxa"/>
          </w:tblCellMar>
          <w:tblLook w:val="0000"/>
        </w:tblPrEx>
        <w:tc>
          <w:tcPr>
            <w:tcW w:w="3164" w:type="dxa"/>
            <w:gridSpan w:val="2"/>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ELEMENTS</w:t>
            </w:r>
          </w:p>
        </w:tc>
        <w:tc>
          <w:tcPr>
            <w:tcW w:w="6333" w:type="dxa"/>
            <w:gridSpan w:val="2"/>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PERFORMANCE CRITERIA</w:t>
            </w:r>
          </w:p>
        </w:tc>
      </w:tr>
      <w:tr w:rsidTr="000D4C2F">
        <w:tblPrEx>
          <w:tblW w:w="9497" w:type="dxa"/>
          <w:tblLayout w:type="fixed"/>
          <w:tblCellMar>
            <w:left w:w="62" w:type="dxa"/>
            <w:right w:w="62" w:type="dxa"/>
          </w:tblCellMar>
          <w:tblLook w:val="0000"/>
        </w:tblPrEx>
        <w:tc>
          <w:tcPr>
            <w:tcW w:w="3164" w:type="dxa"/>
            <w:gridSpan w:val="2"/>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Elements describe the essential outcomes.</w:t>
            </w:r>
          </w:p>
        </w:tc>
        <w:tc>
          <w:tcPr>
            <w:tcW w:w="6333" w:type="dxa"/>
            <w:gridSpan w:val="2"/>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Performance criteria describe the performance needed to demonstrate achievement of the element.</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 xml:space="preserve">1 </w:t>
            </w:r>
          </w:p>
        </w:tc>
        <w:tc>
          <w:tcPr>
            <w:tcW w:w="2758"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 xml:space="preserve">Prepare to conduct secondary screening </w:t>
            </w: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1.1</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Legal powers to conduct secondary screening by frisk search and screening by handheld metal detector, and associated workplace procedures are clarified as required and applied</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1.2</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Secondary screening is conduc</w:t>
            </w:r>
            <w:r w:rsidRPr="000D4C2F">
              <w:t>ted on different genders in accordance with legislative requirements and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1.3</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Prepare handheld metal detector for use in accordance with manufacturer instructions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1.4</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Person to undergo secondary screening is informed that frisk or targeted frisk searches can be intrusive and cover sensitive parts of the body</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1.5</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When secondary screening is conducted, consent is confirmed and a private screening facility is offered an</w:t>
            </w:r>
            <w:r w:rsidRPr="000D4C2F">
              <w:t>d identified in accordance with legislative requirements and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1.6</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Person being searched is asked to remove bulky over garments and other items in their possession capable of being divested and these garments are separately checked by</w:t>
            </w:r>
            <w:r w:rsidRPr="000D4C2F">
              <w:t xml:space="preserve"> primary screening processes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2</w:t>
            </w:r>
          </w:p>
        </w:tc>
        <w:tc>
          <w:tcPr>
            <w:tcW w:w="2758"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Conduct secondary screening of persons</w:t>
            </w: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2.1</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 xml:space="preserve">Secondary screening of a person is carried out using methods and techniques detailed in legislative requirement and workplace procedures </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2.2</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Screening is</w:t>
            </w:r>
            <w:r w:rsidRPr="000D4C2F">
              <w:t xml:space="preserve"> conducted using handheld metal detector in accordance with manufacturer instructions and workplace procedures ensuring the entire body has been scanned</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2.3</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When screening is conducted by handheld metal detector, a targeted frisk is used to further inve</w:t>
            </w:r>
            <w:r w:rsidRPr="000D4C2F">
              <w:t>stigate alarms, which may include sensitive areas of a person’s body</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2.4</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 xml:space="preserve">Full frisk search is conducted in accordance with legislative requirement and workplace procedures </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2.5</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 xml:space="preserve">Unidentified items or positive alarms are responded to by requesting the </w:t>
            </w:r>
            <w:r w:rsidRPr="000D4C2F">
              <w:t>person to reveal or remove potential alarm sources and the screening is repeated until all alarms have been investigated and removed items have been screened by alternative means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2.6</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When alarm source cannot be resolved, access into the sterile area is denied and a more thorough secondary screening is conducted in a private area in accordance with legislative requirements and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2.7</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Work health and safety (WHS)/occ</w:t>
            </w:r>
            <w:r w:rsidRPr="000D4C2F">
              <w:t>upational health and safety (OHS) principles are followed during secondary screening of persons, in accordance 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2.8</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 xml:space="preserve">Customer service principles and standards are applied throughout secondary screening of a person, in accordance </w:t>
            </w:r>
            <w:r w:rsidRPr="000D4C2F">
              <w:t>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2.9</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Cleared person is allowed to proceed to sterile area</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2.10</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Uncleared person is denied access to the sterile area and maybe detained in accordance with legislative requirements and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3</w:t>
            </w:r>
          </w:p>
        </w:tc>
        <w:tc>
          <w:tcPr>
            <w:tcW w:w="2758"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Conduct secondary screening on persons with special circumstances</w:t>
            </w: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3.1</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Special screening methods and requirements are applied when applying secondary screening of infants and children in accordance 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3.2</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 xml:space="preserve">Special screening methods </w:t>
            </w:r>
            <w:r w:rsidRPr="000D4C2F">
              <w:t>and requirements are applied when conducting secondary screening on people who have a disability or specific needs, in accordance 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4</w:t>
            </w:r>
          </w:p>
        </w:tc>
        <w:tc>
          <w:tcPr>
            <w:tcW w:w="2758"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Respond to detection of weapons or prohibited items during secondary screening</w:t>
            </w: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4.1</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Person detecte</w:t>
            </w:r>
            <w:r w:rsidRPr="000D4C2F">
              <w:t>d carrying weapons or prohibited items is detained in accordance 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4.2</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Detected prohibited items or weapons are managed in accordance 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4.3</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Situations requiring specialist assistance are identified and reported to relevant persons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4.4</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Persons and items in the screening area are monitored to maintain situational awareness and potential risks are promptly responded to</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5</w:t>
            </w:r>
          </w:p>
        </w:tc>
        <w:tc>
          <w:tcPr>
            <w:tcW w:w="2758"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rPr>
                <w:rStyle w:val="SpecialBold"/>
              </w:rPr>
              <w:t>Maintain records of s</w:t>
            </w:r>
            <w:r w:rsidRPr="000D4C2F">
              <w:rPr>
                <w:rStyle w:val="SpecialBold"/>
              </w:rPr>
              <w:t>creening</w:t>
            </w: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5.1</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Requirements and processes for maintaining screening records are confirmed</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5.2</w:t>
            </w:r>
          </w:p>
        </w:tc>
        <w:tc>
          <w:tcPr>
            <w:tcW w:w="5572"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t>Screening records including written consent to conduct frisk search, are maintained in accordance with workplace procedures</w:t>
            </w:r>
          </w:p>
        </w:tc>
      </w:tr>
      <w:tr w:rsidTr="000D4C2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tcBorders>
              <w:top w:val="nil"/>
              <w:left w:val="nil"/>
              <w:bottom w:val="nil"/>
              <w:right w:val="nil"/>
            </w:tcBorders>
            <w:tcMar>
              <w:top w:w="0" w:type="dxa"/>
              <w:left w:w="62" w:type="dxa"/>
              <w:bottom w:w="0" w:type="dxa"/>
              <w:right w:w="62" w:type="dxa"/>
            </w:tcMar>
          </w:tcPr>
          <w:p w:rsidR="00000000" w:rsidRPr="000D4C2F">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0D4C2F">
            <w:pPr>
              <w:pStyle w:val="BodyText"/>
              <w:rPr>
                <w:lang w:val="en-NZ"/>
              </w:rPr>
            </w:pPr>
            <w:r w:rsidRPr="000D4C2F">
              <w:rPr>
                <w:rStyle w:val="SpecialBold"/>
              </w:rPr>
              <w:t>5.3</w:t>
            </w:r>
          </w:p>
        </w:tc>
        <w:tc>
          <w:tcPr>
            <w:tcW w:w="5572"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Workplace procedures are followed when a person refuses to undergo secondary screening</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7" w:name="O_1297258"/>
      <w:bookmarkEnd w:id="7"/>
      <w:r w:rsidRPr="000D4C2F">
        <w:t>Foundation Skills</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Foundation skills essential to performance are explicit in the performance criteria of this unit of competency.</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8" w:name="O_1297259"/>
      <w:bookmarkEnd w:id="8"/>
      <w:r w:rsidRPr="000D4C2F">
        <w:t>Range of Conditions</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Range is restricted to essential operating conditions and any other variables essential to the work environment.</w:t>
            </w:r>
          </w:p>
          <w:p w:rsidR="00000000" w:rsidRPr="000D4C2F" w:rsidP="000D4C2F">
            <w:pPr>
              <w:pStyle w:val="BodyText"/>
            </w:pPr>
            <w:r w:rsidRPr="000D4C2F">
              <w:t>Non-essential conditions may be found in the Companion Volume Implementation Guide.</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9" w:name="O_1297260"/>
      <w:bookmarkEnd w:id="9"/>
      <w:r w:rsidRPr="000D4C2F">
        <w:t>Unit Mapping Information</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This unit replaces and is not equivalent to AVIO0004 Conduct frisk search of persons.</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10" w:name="O_1297267"/>
      <w:bookmarkEnd w:id="10"/>
      <w:r w:rsidRPr="000D4C2F">
        <w:t>Links</w:t>
      </w:r>
    </w:p>
    <w:p w:rsidR="00000000" w:rsidRPr="000D4C2F" w:rsidP="004437FB">
      <w:pPr>
        <w:pStyle w:val="BodyText"/>
      </w:pPr>
      <w:r w:rsidRPr="000D4C2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00980">
        <w:rPr>
          <w:rStyle w:val="Hyperlink"/>
        </w:rPr>
        <w:t>https://vetnet.gov.au/Pages/TrainingDocs.aspx?q=4725260a-0af3-4daf-912b-ef1c2f3e5816</w:t>
      </w:r>
      <w:r>
        <w:fldChar w:fldCharType="end"/>
      </w:r>
    </w:p>
    <w:p w:rsidR="00000000" w:rsidRPr="000D4C2F" w:rsidP="004437FB">
      <w:pPr>
        <w:pStyle w:val="BodyText"/>
        <w:sectPr w:rsidSect="000D4C2F">
          <w:headerReference w:type="default" r:id="rId10"/>
          <w:footerReference w:type="default" r:id="rId11"/>
          <w:pgSz w:w="11908" w:h="16833"/>
          <w:pgMar w:top="1702" w:right="1418" w:bottom="1702" w:left="1418" w:header="992" w:footer="992" w:gutter="0"/>
          <w:cols w:space="720"/>
          <w:noEndnote/>
          <w:docGrid w:linePitch="299"/>
        </w:sectPr>
      </w:pPr>
    </w:p>
    <w:p w:rsidR="00000000" w:rsidRPr="000D4C2F" w:rsidP="000D4C2F">
      <w:pPr>
        <w:pStyle w:val="SuperHeading"/>
      </w:pPr>
      <w:r w:rsidRPr="000D4C2F">
        <w:t>Assessment Requirements for AVIO0031 Conduct secondary screening of persons</w:t>
      </w:r>
    </w:p>
    <w:p w:rsidR="00000000" w:rsidRPr="000D4C2F" w:rsidP="000D4C2F">
      <w:pPr>
        <w:pStyle w:val="Heading1"/>
      </w:pPr>
      <w:bookmarkStart w:id="11" w:name="O_1297262"/>
      <w:bookmarkEnd w:id="11"/>
      <w:r w:rsidRPr="000D4C2F">
        <w:t>Modification History</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Release 1. This is the first release of this unit of competency in the AVI Aviation Training Package.</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12" w:name="O_1297263"/>
      <w:bookmarkEnd w:id="12"/>
      <w:r w:rsidRPr="000D4C2F">
        <w:t>Performance Evidence</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Evidence required to demonstrate competence in this unit must be relevant to and satisfy all of the requirements</w:t>
            </w:r>
            <w:r w:rsidRPr="000D4C2F">
              <w:t xml:space="preserve"> of the elements, performance criteria and range of conditions on at least one occasion and include:</w:t>
            </w:r>
          </w:p>
          <w:p w:rsidR="00000000" w:rsidRPr="000D4C2F" w:rsidP="000D4C2F">
            <w:pPr>
              <w:pStyle w:val="ListBullet"/>
            </w:pPr>
            <w:r w:rsidRPr="000D4C2F">
              <w:t>applying special secondary screening methods to people with specific needs</w:t>
            </w:r>
          </w:p>
          <w:p w:rsidR="00000000" w:rsidRPr="000D4C2F" w:rsidP="000D4C2F">
            <w:pPr>
              <w:pStyle w:val="ListBullet"/>
            </w:pPr>
            <w:r w:rsidRPr="000D4C2F">
              <w:t>communicating effectively with others by a range of means including verbal, non-verbal, written and digital</w:t>
            </w:r>
          </w:p>
          <w:p w:rsidR="00000000" w:rsidRPr="000D4C2F" w:rsidP="000D4C2F">
            <w:pPr>
              <w:pStyle w:val="ListBullet"/>
            </w:pPr>
            <w:r w:rsidRPr="000D4C2F">
              <w:t>completing relevant workplace documentation</w:t>
            </w:r>
          </w:p>
          <w:p w:rsidR="00000000" w:rsidRPr="000D4C2F" w:rsidP="000D4C2F">
            <w:pPr>
              <w:pStyle w:val="ListBullet"/>
            </w:pPr>
            <w:r w:rsidRPr="000D4C2F">
              <w:t>conducting frisk search by running open hands over outer garments covering the relevant part of the pers</w:t>
            </w:r>
            <w:r w:rsidRPr="000D4C2F">
              <w:t>on, to an extent sufficient to be satisfied that no unauthorised items are located on the relevant part of the person</w:t>
            </w:r>
          </w:p>
          <w:p w:rsidR="00000000" w:rsidRPr="000D4C2F" w:rsidP="000D4C2F">
            <w:pPr>
              <w:pStyle w:val="ListBullet"/>
            </w:pPr>
            <w:r w:rsidRPr="000D4C2F">
              <w:t>implementing legislative requirements and associated workplace procedures</w:t>
            </w:r>
          </w:p>
          <w:p w:rsidR="00000000" w:rsidRPr="000D4C2F" w:rsidP="000D4C2F">
            <w:pPr>
              <w:pStyle w:val="ListBullet"/>
            </w:pPr>
            <w:r w:rsidRPr="000D4C2F">
              <w:t>implementing work health and safety (WHS)/occupational health an</w:t>
            </w:r>
            <w:r w:rsidRPr="000D4C2F">
              <w:t>d safety (OHS) procedures and relevant regulations</w:t>
            </w:r>
          </w:p>
          <w:p w:rsidR="00000000" w:rsidRPr="000D4C2F" w:rsidP="000D4C2F">
            <w:pPr>
              <w:pStyle w:val="ListBullet"/>
            </w:pPr>
            <w:r w:rsidRPr="000D4C2F">
              <w:t>preparing persons for secondary screening, including obtaining permission from person being searched and informing person about secondary screening processes and procedures</w:t>
            </w:r>
          </w:p>
          <w:p w:rsidR="00000000" w:rsidRPr="000D4C2F" w:rsidP="000D4C2F">
            <w:pPr>
              <w:pStyle w:val="ListBullet"/>
            </w:pPr>
            <w:r w:rsidRPr="000D4C2F">
              <w:t>reporting and/or rectifying prob</w:t>
            </w:r>
            <w:r w:rsidRPr="000D4C2F">
              <w:t>lems, faults or malfunctions promptly, in accordance with workplace procedures</w:t>
            </w:r>
          </w:p>
          <w:p w:rsidR="00000000" w:rsidRPr="000D4C2F" w:rsidP="000D4C2F">
            <w:pPr>
              <w:pStyle w:val="ListBullet"/>
            </w:pPr>
            <w:r w:rsidRPr="000D4C2F">
              <w:t>responding appropriately to detection of weapons or prohibited items during secondary screening</w:t>
            </w:r>
          </w:p>
          <w:p w:rsidR="00000000" w:rsidRPr="000D4C2F" w:rsidP="000D4C2F">
            <w:pPr>
              <w:pStyle w:val="ListBullet"/>
            </w:pPr>
            <w:r w:rsidRPr="000D4C2F">
              <w:t>responding appropriately to social and cultural differences in the workplace</w:t>
            </w:r>
          </w:p>
          <w:p w:rsidR="00000000" w:rsidRPr="000D4C2F" w:rsidP="000D4C2F">
            <w:pPr>
              <w:pStyle w:val="ListBullet"/>
            </w:pPr>
            <w:r w:rsidRPr="000D4C2F">
              <w:t>usin</w:t>
            </w:r>
            <w:r w:rsidRPr="000D4C2F">
              <w:t>g appropriate customer service skills when secondary screening of persons in a transport security environment</w:t>
            </w:r>
          </w:p>
          <w:p w:rsidR="00000000" w:rsidRPr="000D4C2F" w:rsidP="000D4C2F">
            <w:pPr>
              <w:pStyle w:val="ListBullet"/>
            </w:pPr>
            <w:r w:rsidRPr="000D4C2F">
              <w:t>working collaboratively with others when conducting frisk searches of persons in a transport security environment.</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13" w:name="O_1297264"/>
      <w:bookmarkEnd w:id="13"/>
      <w:r w:rsidRPr="000D4C2F">
        <w:t xml:space="preserve">Knowledge </w:t>
      </w:r>
      <w:r w:rsidRPr="000D4C2F">
        <w:t>Evidence</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Evidence required to demonstrate competence in this unit must be relevant to and satisfy all of the requirements of the elements, performance criteria and range of conditions and include knowledge of:</w:t>
            </w:r>
          </w:p>
          <w:p w:rsidR="00000000" w:rsidRPr="000D4C2F" w:rsidP="000D4C2F">
            <w:pPr>
              <w:pStyle w:val="ListBullet"/>
            </w:pPr>
            <w:r w:rsidRPr="000D4C2F">
              <w:t>customer service standards and techniques to be applied when carrying out secondary screening of persons in a transport security environment</w:t>
            </w:r>
          </w:p>
          <w:p w:rsidR="00000000" w:rsidRPr="000D4C2F" w:rsidP="000D4C2F">
            <w:pPr>
              <w:pStyle w:val="ListBullet"/>
            </w:pPr>
            <w:r w:rsidRPr="000D4C2F">
              <w:t>law enforcement officers and other government officers, their roles and responsibilities within a transport securit</w:t>
            </w:r>
            <w:r w:rsidRPr="000D4C2F">
              <w:t>y workplace</w:t>
            </w:r>
          </w:p>
          <w:p w:rsidR="00000000" w:rsidRPr="000D4C2F" w:rsidP="000D4C2F">
            <w:pPr>
              <w:pStyle w:val="ListBullet"/>
            </w:pPr>
            <w:r w:rsidRPr="000D4C2F">
              <w:t>procedures for covering targeted and full frisk searches</w:t>
            </w:r>
          </w:p>
          <w:p w:rsidR="00000000" w:rsidRPr="000D4C2F" w:rsidP="000D4C2F">
            <w:pPr>
              <w:pStyle w:val="ListBullet"/>
            </w:pPr>
            <w:r w:rsidRPr="000D4C2F">
              <w:t>relevant workplace policies and procedures that ensure compliance with legislative and regulatory requirements when conducting secondary screening in a transport security environment</w:t>
            </w:r>
          </w:p>
          <w:p w:rsidR="00000000" w:rsidRPr="000D4C2F" w:rsidP="000D4C2F">
            <w:pPr>
              <w:pStyle w:val="ListBullet"/>
            </w:pPr>
            <w:r w:rsidRPr="000D4C2F">
              <w:t>site</w:t>
            </w:r>
            <w:r w:rsidRPr="000D4C2F">
              <w:t xml:space="preserve"> layout, including applicable security zones and standard operating procedures for transport security screening processes concerned and private rooms or a search room that can be used to secondary screening</w:t>
            </w:r>
          </w:p>
          <w:p w:rsidR="00000000" w:rsidRPr="000D4C2F" w:rsidP="000D4C2F">
            <w:pPr>
              <w:pStyle w:val="ListBullet"/>
            </w:pPr>
            <w:r w:rsidRPr="000D4C2F">
              <w:t>social and cultural differences including:</w:t>
            </w:r>
          </w:p>
          <w:p w:rsidR="00000000" w:rsidRPr="000D4C2F" w:rsidP="000D4C2F">
            <w:pPr>
              <w:pStyle w:val="ListBullet2"/>
            </w:pPr>
            <w:r w:rsidRPr="000D4C2F">
              <w:t>dress</w:t>
            </w:r>
            <w:r w:rsidRPr="000D4C2F">
              <w:t xml:space="preserve"> and personal presentation</w:t>
            </w:r>
          </w:p>
          <w:p w:rsidR="00000000" w:rsidRPr="000D4C2F" w:rsidP="000D4C2F">
            <w:pPr>
              <w:pStyle w:val="ListBullet2"/>
            </w:pPr>
            <w:r w:rsidRPr="000D4C2F">
              <w:t>gender and gender identity</w:t>
            </w:r>
          </w:p>
          <w:p w:rsidR="00000000" w:rsidRPr="000D4C2F" w:rsidP="000D4C2F">
            <w:pPr>
              <w:pStyle w:val="ListBullet2"/>
            </w:pPr>
            <w:r w:rsidRPr="000D4C2F">
              <w:t>language</w:t>
            </w:r>
          </w:p>
          <w:p w:rsidR="00000000" w:rsidRPr="000D4C2F" w:rsidP="000D4C2F">
            <w:pPr>
              <w:pStyle w:val="ListBullet2"/>
            </w:pPr>
            <w:r w:rsidRPr="000D4C2F">
              <w:t>religion</w:t>
            </w:r>
          </w:p>
          <w:p w:rsidR="00000000" w:rsidRPr="000D4C2F" w:rsidP="000D4C2F">
            <w:pPr>
              <w:pStyle w:val="ListBullet2"/>
            </w:pPr>
            <w:r w:rsidRPr="000D4C2F">
              <w:t>social conventions</w:t>
            </w:r>
          </w:p>
          <w:p w:rsidR="00000000" w:rsidRPr="000D4C2F" w:rsidP="000D4C2F">
            <w:pPr>
              <w:pStyle w:val="ListBullet2"/>
            </w:pPr>
            <w:r w:rsidRPr="000D4C2F">
              <w:t>traditional practices</w:t>
            </w:r>
          </w:p>
          <w:p w:rsidR="00000000" w:rsidRPr="000D4C2F" w:rsidP="000D4C2F">
            <w:pPr>
              <w:pStyle w:val="ListBullet2"/>
            </w:pPr>
            <w:r w:rsidRPr="000D4C2F">
              <w:t>values and beliefs</w:t>
            </w:r>
          </w:p>
          <w:p w:rsidR="00000000" w:rsidRPr="000D4C2F" w:rsidP="000D4C2F">
            <w:pPr>
              <w:pStyle w:val="ListBullet"/>
            </w:pPr>
            <w:r w:rsidRPr="000D4C2F">
              <w:t>types of weapons and prohibited items that may be detected during secondary screening as outlined in relevant regulations</w:t>
            </w:r>
          </w:p>
          <w:p w:rsidR="00000000" w:rsidRPr="000D4C2F" w:rsidP="000D4C2F">
            <w:pPr>
              <w:pStyle w:val="ListBullet"/>
            </w:pPr>
            <w:r w:rsidRPr="000D4C2F">
              <w:t>typical issues that may occur when conducting secondary screening of persons in a transport security environment and appropriate action that can be taken to resolve and avoid these issues</w:t>
            </w:r>
          </w:p>
          <w:p w:rsidR="00000000" w:rsidRPr="000D4C2F" w:rsidP="000D4C2F">
            <w:pPr>
              <w:pStyle w:val="ListBullet"/>
            </w:pPr>
            <w:r w:rsidRPr="000D4C2F">
              <w:t>workplace procedures and contingency procedures as they relate to de</w:t>
            </w:r>
            <w:r w:rsidRPr="000D4C2F">
              <w:t>tecting weapons and prohibited items during secondary screening.</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14" w:name="O_1297265"/>
      <w:bookmarkEnd w:id="14"/>
      <w:r w:rsidRPr="000D4C2F">
        <w:t>Assessment Conditions</w:t>
      </w:r>
    </w:p>
    <w:tbl>
      <w:tblPr>
        <w:tblW w:w="9497" w:type="dxa"/>
        <w:tblLayout w:type="fixed"/>
        <w:tblCellMar>
          <w:left w:w="62" w:type="dxa"/>
          <w:right w:w="62" w:type="dxa"/>
        </w:tblCellMar>
        <w:tblLook w:val="0000"/>
      </w:tblPr>
      <w:tblGrid>
        <w:gridCol w:w="9497"/>
      </w:tblGrid>
      <w:tr w:rsidTr="000D4C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C2F" w:rsidP="000D4C2F">
            <w:pPr>
              <w:pStyle w:val="BodyText"/>
            </w:pPr>
            <w:r w:rsidRPr="000D4C2F">
              <w:t>Assessors must hold credentials specified within the Standards for Registered Training Organisations current at the time of assessment.</w:t>
            </w:r>
          </w:p>
          <w:p w:rsidR="00000000" w:rsidRPr="000D4C2F" w:rsidP="000D4C2F">
            <w:pPr>
              <w:pStyle w:val="BodyText"/>
            </w:pPr>
            <w:r w:rsidRPr="000D4C2F">
              <w:t>Ass</w:t>
            </w:r>
            <w:r w:rsidRPr="000D4C2F">
              <w:t>essment must satisfy the Principles of Assessment and Rules of Evidence and all regulatory requirements included within the Standards for Registered Training Organisations current at the time of assessment.</w:t>
            </w:r>
          </w:p>
          <w:p w:rsidR="00000000" w:rsidRPr="000D4C2F" w:rsidP="000D4C2F">
            <w:pPr>
              <w:pStyle w:val="BodyText"/>
            </w:pPr>
            <w:r w:rsidRPr="000D4C2F">
              <w:t>Assessment must occur in workplace operational si</w:t>
            </w:r>
            <w:r w:rsidRPr="000D4C2F">
              <w:t xml:space="preserve">tuations where it is appropriate to do so; where this is not appropriate, assessment must occur in simulated workplace operational situations that replicate workplace conditions. </w:t>
            </w:r>
          </w:p>
          <w:p w:rsidR="00000000" w:rsidRPr="000D4C2F" w:rsidP="000D4C2F">
            <w:pPr>
              <w:pStyle w:val="BodyText"/>
            </w:pPr>
            <w:r w:rsidRPr="000D4C2F">
              <w:t>Assessment processes and techniques must be appropriate to the language, lit</w:t>
            </w:r>
            <w:r w:rsidRPr="000D4C2F">
              <w:t>eracy and numeracy requirements of the work being performed and the needs of the candidate.</w:t>
            </w:r>
          </w:p>
          <w:p w:rsidR="00000000" w:rsidRPr="000D4C2F" w:rsidP="000D4C2F">
            <w:pPr>
              <w:pStyle w:val="BodyText"/>
            </w:pPr>
            <w:r w:rsidRPr="000D4C2F">
              <w:t>Resources for assessment must include access to:</w:t>
            </w:r>
          </w:p>
          <w:p w:rsidR="00000000" w:rsidRPr="000D4C2F" w:rsidP="000D4C2F">
            <w:pPr>
              <w:pStyle w:val="ListBullet"/>
            </w:pPr>
            <w:r w:rsidRPr="000D4C2F">
              <w:t>a range of relevant exercises, case studies and/or simulations</w:t>
            </w:r>
          </w:p>
          <w:p w:rsidR="00000000" w:rsidRPr="000D4C2F" w:rsidP="000D4C2F">
            <w:pPr>
              <w:pStyle w:val="ListBullet"/>
            </w:pPr>
            <w:r w:rsidRPr="000D4C2F">
              <w:t>applicable documentation, including workplace proce</w:t>
            </w:r>
            <w:r w:rsidRPr="000D4C2F">
              <w:t>dures, regulations, codes of practice and operation manuals</w:t>
            </w:r>
          </w:p>
          <w:p w:rsidR="00000000" w:rsidRPr="000D4C2F" w:rsidP="000D4C2F">
            <w:pPr>
              <w:pStyle w:val="ListBullet"/>
            </w:pPr>
            <w:r w:rsidRPr="000D4C2F">
              <w:t>relevant materials, tools, equipment and PPE currently used in industry.</w:t>
            </w:r>
          </w:p>
        </w:tc>
      </w:tr>
    </w:tbl>
    <w:p w:rsidR="00000000" w:rsidRPr="000D4C2F" w:rsidP="000D4C2F">
      <w:pPr>
        <w:pStyle w:val="NoPaddingFontSize1"/>
      </w:pPr>
    </w:p>
    <w:p w:rsidR="00000000" w:rsidRPr="000D4C2F" w:rsidP="000D4C2F">
      <w:pPr>
        <w:pStyle w:val="AllowPageBreak"/>
      </w:pPr>
    </w:p>
    <w:p w:rsidR="00000000" w:rsidRPr="000D4C2F" w:rsidP="000D4C2F">
      <w:pPr>
        <w:pStyle w:val="Heading1"/>
      </w:pPr>
      <w:bookmarkStart w:id="15" w:name="O_1297268"/>
      <w:bookmarkEnd w:id="15"/>
      <w:r w:rsidRPr="000D4C2F">
        <w:t>Links</w:t>
      </w:r>
    </w:p>
    <w:p w:rsidR="00000000" w:rsidRPr="000D4C2F" w:rsidP="004437FB">
      <w:pPr>
        <w:pStyle w:val="BodyText"/>
      </w:pPr>
      <w:r w:rsidRPr="000D4C2F">
        <w:t>Companion Volume Implementation Guides are found in VETNet’</w:t>
      </w:r>
      <w:r w:rsidRPr="000D4C2F">
        <w:t xml:space="preserve"> - </w:t>
      </w:r>
      <w:r>
        <w:fldChar w:fldCharType="begin"/>
      </w:r>
      <w:r>
        <w:instrText xml:space="preserve"> HYPERLINK "https://vetnet.gov.au/Pages/TrainingDocs.aspx?q=4725260a-0af3-4daf-912b-ef1c2f3e5816" </w:instrText>
      </w:r>
      <w:r>
        <w:fldChar w:fldCharType="separate"/>
      </w:r>
      <w:r w:rsidRPr="00900980">
        <w:rPr>
          <w:rStyle w:val="Hyperlink"/>
        </w:rPr>
        <w:t>https://vetnet.gov.au/Pages/TrainingDocs.aspx?q=4725260a-0af3-4daf-912b-ef1c2f3e5816</w:t>
      </w:r>
      <w:r>
        <w:fldChar w:fldCharType="end"/>
      </w:r>
    </w:p>
    <w:p w:rsidR="00000000" w:rsidRPr="000D4C2F" w:rsidP="000D4C2F"/>
    <w:sectPr w:rsidSect="000D4C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rsidRPr="004437FB" w:rsidP="00443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FB" w:rsidP="000D4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7FB" w:rsidP="000D4C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37FB" w:rsidP="000D4C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rsidP="000D4C2F">
    <w:pPr>
      <w:pStyle w:val="Footer"/>
      <w:framePr w:wrap="around"/>
    </w:pPr>
    <w:r>
      <w:fldChar w:fldCharType="begin"/>
    </w:r>
    <w:r>
      <w:instrText xml:space="preserve"> DOCPROPERTY  Subject  \* MERGEFORMAT </w:instrText>
    </w:r>
    <w:r>
      <w:fldChar w:fldCharType="separate"/>
    </w:r>
    <w:r w:rsidR="004437FB">
      <w:t>Approved</w:t>
    </w:r>
    <w:r w:rsidR="004437FB">
      <w:fldChar w:fldCharType="end"/>
    </w:r>
    <w:r>
      <w:tab/>
      <w:t xml:space="preserve">Page </w:t>
    </w:r>
    <w:r>
      <w:fldChar w:fldCharType="begin"/>
    </w:r>
    <w:r>
      <w:instrText xml:space="preserve"> PAGE  \* Arabic  \* MERGEFORMAT </w:instrText>
    </w:r>
    <w:r>
      <w:fldChar w:fldCharType="separate"/>
    </w:r>
    <w:r w:rsidR="00443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37FB">
      <w:rPr>
        <w:noProof/>
      </w:rPr>
      <w:t>5</w:t>
    </w:r>
    <w:r>
      <w:rPr>
        <w:noProof/>
      </w:rPr>
      <w:fldChar w:fldCharType="end"/>
    </w:r>
  </w:p>
  <w:p w:rsidR="000D4C2F" w:rsidP="000D4C2F">
    <w:pPr>
      <w:pStyle w:val="Footer"/>
      <w:framePr w:wrap="around"/>
    </w:pPr>
    <w:r>
      <w:t xml:space="preserve">© Commonwealth of Australia, </w:t>
    </w:r>
    <w:r>
      <w:fldChar w:fldCharType="begin"/>
    </w:r>
    <w:r>
      <w:instrText xml:space="preserve"> DATE  \@ "yyyy"  \* MERGEFORMAT </w:instrText>
    </w:r>
    <w:r>
      <w:fldChar w:fldCharType="separate"/>
    </w:r>
    <w:r w:rsidR="004437FB">
      <w:rPr>
        <w:noProof/>
      </w:rPr>
      <w:t>2025</w:t>
    </w:r>
    <w:r>
      <w:fldChar w:fldCharType="end"/>
    </w:r>
    <w:r>
      <w:tab/>
    </w:r>
    <w:r>
      <w:fldChar w:fldCharType="begin"/>
    </w:r>
    <w:r>
      <w:instrText xml:space="preserve"> DOCPROPERTY  Author  \* MERGEFORMAT </w:instrText>
    </w:r>
    <w:r>
      <w:fldChar w:fldCharType="separate"/>
    </w:r>
    <w:r w:rsidR="004437FB">
      <w:t>Industry Skills Australia</w:t>
    </w:r>
    <w:r w:rsidR="004437FB">
      <w:fldChar w:fldCharType="end"/>
    </w:r>
  </w:p>
  <w:p w:rsidR="000D4C2F" w:rsidP="000D4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C2F" w:rsidRPr="004437FB" w:rsidP="00443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FB" w:rsidRPr="002D2AF8" w:rsidP="000D4C2F">
    <w:pPr>
      <w:pStyle w:val="Header"/>
      <w:framePr w:wrap="around"/>
    </w:pPr>
    <w:r>
      <w:fldChar w:fldCharType="begin"/>
    </w:r>
    <w:r>
      <w:instrText xml:space="preserve"> TITLE   \* MERGEFORMAT </w:instrText>
    </w:r>
    <w:r>
      <w:fldChar w:fldCharType="separate"/>
    </w:r>
    <w:r>
      <w:t>AVIO0031 Conduct secondary screening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4437FB" w:rsidP="000D4C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F" w:rsidRPr="002D2AF8" w:rsidP="000D4C2F">
    <w:pPr>
      <w:pStyle w:val="Header"/>
      <w:framePr w:wrap="around"/>
    </w:pPr>
    <w:r>
      <w:fldChar w:fldCharType="begin"/>
    </w:r>
    <w:r>
      <w:instrText xml:space="preserve"> TITLE   \* MERGEFORMAT </w:instrText>
    </w:r>
    <w:r>
      <w:fldChar w:fldCharType="separate"/>
    </w:r>
    <w:r w:rsidR="004437FB">
      <w:t>AVIO0031 Conduct secondary screening of persons</w:t>
    </w:r>
    <w:r w:rsidR="004437FB">
      <w:fldChar w:fldCharType="end"/>
    </w:r>
    <w:r>
      <w:tab/>
      <w:t xml:space="preserve">Date this document was generated: </w:t>
    </w:r>
    <w:r>
      <w:fldChar w:fldCharType="begin"/>
    </w:r>
    <w:r>
      <w:instrText xml:space="preserve"> CREATEDATE  \@ "d MMMM yyyy"  \* MERGEFORMAT </w:instrText>
    </w:r>
    <w:r>
      <w:fldChar w:fldCharType="separate"/>
    </w:r>
    <w:r w:rsidR="004437FB">
      <w:rPr>
        <w:noProof/>
      </w:rPr>
      <w:t>28 May 2025</w:t>
    </w:r>
    <w:r>
      <w:fldChar w:fldCharType="end"/>
    </w:r>
  </w:p>
  <w:p w:rsidR="000D4C2F" w:rsidP="000D4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CB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CF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83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C2F"/>
    <w:pPr>
      <w:spacing w:before="360" w:after="60"/>
      <w:outlineLvl w:val="0"/>
    </w:pPr>
    <w:rPr>
      <w:sz w:val="32"/>
    </w:rPr>
  </w:style>
  <w:style w:type="paragraph" w:styleId="Heading2">
    <w:name w:val="heading 2"/>
    <w:basedOn w:val="HeadingBase"/>
    <w:next w:val="BodyText"/>
    <w:link w:val="Heading2Char"/>
    <w:qFormat/>
    <w:rsid w:val="000D4C2F"/>
    <w:pPr>
      <w:keepLines/>
      <w:spacing w:before="240" w:after="120"/>
      <w:outlineLvl w:val="1"/>
    </w:pPr>
    <w:rPr>
      <w:sz w:val="28"/>
      <w:szCs w:val="40"/>
    </w:rPr>
  </w:style>
  <w:style w:type="paragraph" w:styleId="Heading3">
    <w:name w:val="heading 3"/>
    <w:basedOn w:val="HeadingBase"/>
    <w:next w:val="BodyText"/>
    <w:link w:val="Heading3Char"/>
    <w:qFormat/>
    <w:rsid w:val="000D4C2F"/>
    <w:pPr>
      <w:spacing w:before="180" w:after="120"/>
      <w:outlineLvl w:val="2"/>
    </w:pPr>
    <w:rPr>
      <w:spacing w:val="-10"/>
      <w:kern w:val="32"/>
    </w:rPr>
  </w:style>
  <w:style w:type="paragraph" w:styleId="Heading4">
    <w:name w:val="heading 4"/>
    <w:basedOn w:val="HeadingBase"/>
    <w:next w:val="BodyText"/>
    <w:link w:val="Heading4Char"/>
    <w:qFormat/>
    <w:rsid w:val="000D4C2F"/>
    <w:pPr>
      <w:spacing w:before="160" w:after="120"/>
      <w:outlineLvl w:val="3"/>
    </w:pPr>
    <w:rPr>
      <w:sz w:val="22"/>
    </w:rPr>
  </w:style>
  <w:style w:type="paragraph" w:styleId="Heading5">
    <w:name w:val="heading 5"/>
    <w:basedOn w:val="HeadingBase"/>
    <w:next w:val="Normal"/>
    <w:link w:val="Heading5Char"/>
    <w:qFormat/>
    <w:rsid w:val="000D4C2F"/>
    <w:pPr>
      <w:spacing w:before="80"/>
      <w:outlineLvl w:val="4"/>
    </w:pPr>
    <w:rPr>
      <w:color w:val="918585"/>
      <w:sz w:val="20"/>
    </w:rPr>
  </w:style>
  <w:style w:type="paragraph" w:styleId="Heading6">
    <w:name w:val="heading 6"/>
    <w:basedOn w:val="HeadingBase"/>
    <w:next w:val="Normal"/>
    <w:link w:val="Heading6Char"/>
    <w:qFormat/>
    <w:rsid w:val="000D4C2F"/>
    <w:pPr>
      <w:spacing w:before="60"/>
      <w:outlineLvl w:val="5"/>
    </w:pPr>
    <w:rPr>
      <w:color w:val="918585"/>
      <w:sz w:val="20"/>
    </w:rPr>
  </w:style>
  <w:style w:type="paragraph" w:styleId="Heading7">
    <w:name w:val="heading 7"/>
    <w:basedOn w:val="Normal"/>
    <w:next w:val="Normal"/>
    <w:link w:val="Heading7Char"/>
    <w:qFormat/>
    <w:rsid w:val="000D4C2F"/>
    <w:pPr>
      <w:ind w:left="720"/>
      <w:outlineLvl w:val="6"/>
    </w:pPr>
    <w:rPr>
      <w:i/>
    </w:rPr>
  </w:style>
  <w:style w:type="paragraph" w:styleId="Heading8">
    <w:name w:val="heading 8"/>
    <w:basedOn w:val="Normal"/>
    <w:next w:val="Normal"/>
    <w:link w:val="Heading8Char"/>
    <w:qFormat/>
    <w:rsid w:val="000D4C2F"/>
    <w:pPr>
      <w:ind w:left="720"/>
      <w:outlineLvl w:val="7"/>
    </w:pPr>
    <w:rPr>
      <w:i/>
    </w:rPr>
  </w:style>
  <w:style w:type="paragraph" w:styleId="Heading9">
    <w:name w:val="heading 9"/>
    <w:basedOn w:val="Normal"/>
    <w:next w:val="Normal"/>
    <w:link w:val="Heading9Char"/>
    <w:qFormat/>
    <w:rsid w:val="000D4C2F"/>
    <w:pPr>
      <w:ind w:left="720"/>
      <w:outlineLvl w:val="8"/>
    </w:pPr>
    <w:rPr>
      <w:i/>
    </w:rPr>
  </w:style>
  <w:style w:type="character" w:default="1" w:styleId="DefaultParagraphFont">
    <w:name w:val="Default Paragraph Font"/>
    <w:uiPriority w:val="1"/>
    <w:unhideWhenUsed/>
    <w:rsid w:val="000D4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C2F"/>
  </w:style>
  <w:style w:type="character" w:customStyle="1" w:styleId="Heading1Char">
    <w:name w:val="Heading 1 Char"/>
    <w:basedOn w:val="DefaultParagraphFont"/>
    <w:link w:val="Heading1"/>
    <w:rsid w:val="000D4C2F"/>
    <w:rPr>
      <w:rFonts w:ascii="Times New Roman" w:eastAsia="Times New Roman" w:hAnsi="Times New Roman" w:cs="Times New Roman"/>
      <w:b/>
      <w:sz w:val="32"/>
      <w:szCs w:val="20"/>
      <w:lang w:eastAsia="en-US"/>
    </w:rPr>
  </w:style>
  <w:style w:type="paragraph" w:styleId="BodyText">
    <w:name w:val="Body Text"/>
    <w:basedOn w:val="Normal"/>
    <w:link w:val="BodyTextChar"/>
    <w:rsid w:val="000D4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C2F"/>
    <w:rPr>
      <w:rFonts w:ascii="Times New Roman" w:eastAsia="Times New Roman" w:hAnsi="Times New Roman" w:cs="Times New Roman"/>
      <w:sz w:val="24"/>
      <w:lang w:eastAsia="en-US"/>
    </w:rPr>
  </w:style>
  <w:style w:type="paragraph" w:styleId="ListBullet">
    <w:name w:val="List Bullet"/>
    <w:basedOn w:val="List"/>
    <w:rsid w:val="000D4C2F"/>
    <w:pPr>
      <w:numPr>
        <w:numId w:val="12"/>
      </w:numPr>
      <w:tabs>
        <w:tab w:val="clear" w:pos="340"/>
      </w:tabs>
      <w:spacing w:before="40" w:after="40"/>
    </w:pPr>
  </w:style>
  <w:style w:type="character" w:customStyle="1" w:styleId="SpecialBold">
    <w:name w:val="Special Bold"/>
    <w:basedOn w:val="DefaultParagraphFont"/>
    <w:rsid w:val="000D4C2F"/>
    <w:rPr>
      <w:b/>
      <w:spacing w:val="0"/>
    </w:rPr>
  </w:style>
  <w:style w:type="paragraph" w:styleId="ListBullet2">
    <w:name w:val="List Bullet 2"/>
    <w:basedOn w:val="List2"/>
    <w:rsid w:val="000D4C2F"/>
    <w:pPr>
      <w:numPr>
        <w:numId w:val="13"/>
      </w:numPr>
      <w:tabs>
        <w:tab w:val="clear" w:pos="680"/>
      </w:tabs>
    </w:pPr>
  </w:style>
  <w:style w:type="paragraph" w:customStyle="1" w:styleId="SuperHeading">
    <w:name w:val="SuperHeading"/>
    <w:basedOn w:val="Normal"/>
    <w:rsid w:val="000D4C2F"/>
    <w:pPr>
      <w:spacing w:before="240" w:after="120"/>
      <w:outlineLvl w:val="0"/>
    </w:pPr>
    <w:rPr>
      <w:rFonts w:ascii="Times New Roman" w:hAnsi="Times New Roman"/>
      <w:b/>
      <w:sz w:val="32"/>
    </w:rPr>
  </w:style>
  <w:style w:type="paragraph" w:customStyle="1" w:styleId="AllowPageBreak">
    <w:name w:val="AllowPageBreak"/>
    <w:rsid w:val="000D4C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4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C2F"/>
    <w:rPr>
      <w:rFonts w:ascii="Courier New" w:eastAsia="Times New Roman" w:hAnsi="Courier New" w:cs="Times New Roman"/>
      <w:i/>
      <w:szCs w:val="20"/>
      <w:lang w:eastAsia="en-US"/>
    </w:rPr>
  </w:style>
  <w:style w:type="paragraph" w:customStyle="1" w:styleId="HeadingBase">
    <w:name w:val="Heading Base"/>
    <w:rsid w:val="000D4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C2F"/>
    <w:pPr>
      <w:tabs>
        <w:tab w:val="right" w:leader="dot" w:pos="9072"/>
      </w:tabs>
      <w:ind w:left="567"/>
    </w:pPr>
    <w:rPr>
      <w:szCs w:val="22"/>
    </w:rPr>
  </w:style>
  <w:style w:type="paragraph" w:customStyle="1" w:styleId="TOCBase">
    <w:name w:val="TOC Base"/>
    <w:rsid w:val="000D4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C2F"/>
    <w:pPr>
      <w:tabs>
        <w:tab w:val="right" w:leader="dot" w:pos="9072"/>
      </w:tabs>
      <w:spacing w:before="40" w:after="40"/>
      <w:ind w:left="284"/>
    </w:pPr>
    <w:rPr>
      <w:rFonts w:ascii="Times New Roman" w:hAnsi="Times New Roman"/>
    </w:rPr>
  </w:style>
  <w:style w:type="paragraph" w:styleId="TOC1">
    <w:name w:val="toc 1"/>
    <w:basedOn w:val="TOCBase"/>
    <w:next w:val="Normal"/>
    <w:rsid w:val="000D4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C2F"/>
    <w:rPr>
      <w:rFonts w:ascii="Times New Roman" w:eastAsia="Times New Roman" w:hAnsi="Times New Roman" w:cs="Times New Roman"/>
      <w:sz w:val="16"/>
      <w:lang w:eastAsia="en-US"/>
    </w:rPr>
  </w:style>
  <w:style w:type="paragraph" w:styleId="Title">
    <w:name w:val="Title"/>
    <w:basedOn w:val="HeadingBase"/>
    <w:link w:val="TitleChar"/>
    <w:qFormat/>
    <w:rsid w:val="000D4C2F"/>
    <w:pPr>
      <w:spacing w:before="5040"/>
      <w:jc w:val="center"/>
    </w:pPr>
    <w:rPr>
      <w:sz w:val="48"/>
      <w:szCs w:val="72"/>
      <w:lang w:val="en-US"/>
    </w:rPr>
  </w:style>
  <w:style w:type="character" w:customStyle="1" w:styleId="TitleChar">
    <w:name w:val="Title Char"/>
    <w:basedOn w:val="DefaultParagraphFont"/>
    <w:link w:val="Title"/>
    <w:rsid w:val="000D4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C2F"/>
    <w:pPr>
      <w:tabs>
        <w:tab w:val="left" w:pos="3600"/>
        <w:tab w:val="left" w:pos="3958"/>
      </w:tabs>
    </w:pPr>
  </w:style>
  <w:style w:type="paragraph" w:styleId="List">
    <w:name w:val="List"/>
    <w:basedOn w:val="BodyText"/>
    <w:next w:val="BodyText"/>
    <w:rsid w:val="000D4C2F"/>
    <w:pPr>
      <w:tabs>
        <w:tab w:val="left" w:pos="340"/>
      </w:tabs>
      <w:spacing w:before="60" w:after="60"/>
      <w:ind w:left="340" w:hanging="340"/>
    </w:pPr>
  </w:style>
  <w:style w:type="paragraph" w:customStyle="1" w:styleId="Note">
    <w:name w:val="Note"/>
    <w:basedOn w:val="BodyText"/>
    <w:rsid w:val="000D4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C2F"/>
    <w:pPr>
      <w:framePr w:wrap="auto" w:hAnchor="text" w:y="6049"/>
    </w:pPr>
    <w:rPr>
      <w:color w:val="000000"/>
      <w:sz w:val="40"/>
    </w:rPr>
  </w:style>
  <w:style w:type="paragraph" w:customStyle="1" w:styleId="TOCTitle">
    <w:name w:val="TOCTitle"/>
    <w:basedOn w:val="Heading1"/>
    <w:rsid w:val="000D4C2F"/>
    <w:pPr>
      <w:spacing w:after="240"/>
      <w:jc w:val="center"/>
      <w:outlineLvl w:val="9"/>
    </w:pPr>
    <w:rPr>
      <w:caps/>
    </w:rPr>
  </w:style>
  <w:style w:type="paragraph" w:customStyle="1" w:styleId="Version">
    <w:name w:val="Version"/>
    <w:rsid w:val="000D4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C2F"/>
    <w:pPr>
      <w:keepNext w:val="0"/>
      <w:tabs>
        <w:tab w:val="right" w:pos="4176"/>
      </w:tabs>
      <w:ind w:left="198" w:hanging="198"/>
    </w:pPr>
    <w:rPr>
      <w:rFonts w:ascii="Garamond" w:hAnsi="Garamond"/>
    </w:rPr>
  </w:style>
  <w:style w:type="paragraph" w:styleId="IndexHeading">
    <w:name w:val="index heading"/>
    <w:basedOn w:val="Normal"/>
    <w:next w:val="Index1"/>
    <w:semiHidden/>
    <w:rsid w:val="000D4C2F"/>
    <w:pPr>
      <w:spacing w:before="120" w:after="120"/>
    </w:pPr>
    <w:rPr>
      <w:rFonts w:ascii="Arial" w:hAnsi="Arial"/>
      <w:b/>
      <w:color w:val="918585"/>
      <w:sz w:val="24"/>
    </w:rPr>
  </w:style>
  <w:style w:type="paragraph" w:styleId="Header">
    <w:name w:val="header"/>
    <w:basedOn w:val="Normal"/>
    <w:link w:val="HeaderChar"/>
    <w:rsid w:val="000D4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C2F"/>
    <w:rPr>
      <w:rFonts w:ascii="Times New Roman" w:eastAsia="Times New Roman" w:hAnsi="Times New Roman" w:cs="Times New Roman"/>
      <w:sz w:val="16"/>
      <w:szCs w:val="20"/>
      <w:lang w:val="en-GB" w:eastAsia="en-US"/>
    </w:rPr>
  </w:style>
  <w:style w:type="paragraph" w:customStyle="1" w:styleId="Chapter">
    <w:name w:val="Chapter"/>
    <w:basedOn w:val="Normal"/>
    <w:rsid w:val="000D4C2F"/>
    <w:pPr>
      <w:spacing w:before="240"/>
    </w:pPr>
    <w:rPr>
      <w:rFonts w:ascii="Times New Roman" w:hAnsi="Times New Roman"/>
      <w:smallCaps/>
      <w:spacing w:val="80"/>
      <w:sz w:val="28"/>
    </w:rPr>
  </w:style>
  <w:style w:type="paragraph" w:customStyle="1" w:styleId="InChapter">
    <w:name w:val="InChapter"/>
    <w:basedOn w:val="Heading3"/>
    <w:rsid w:val="000D4C2F"/>
    <w:pPr>
      <w:spacing w:after="240"/>
      <w:outlineLvl w:val="9"/>
    </w:pPr>
    <w:rPr>
      <w:noProof/>
    </w:rPr>
  </w:style>
  <w:style w:type="paragraph" w:styleId="Index2">
    <w:name w:val="index 2"/>
    <w:basedOn w:val="Normal"/>
    <w:next w:val="Normal"/>
    <w:semiHidden/>
    <w:rsid w:val="000D4C2F"/>
    <w:pPr>
      <w:tabs>
        <w:tab w:val="right" w:pos="4176"/>
      </w:tabs>
      <w:ind w:left="568" w:hanging="284"/>
    </w:pPr>
    <w:rPr>
      <w:rFonts w:ascii="Garamond" w:hAnsi="Garamond"/>
    </w:rPr>
  </w:style>
  <w:style w:type="paragraph" w:customStyle="1" w:styleId="Byline">
    <w:name w:val="Byline"/>
    <w:rsid w:val="000D4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C2F"/>
    <w:pPr>
      <w:tabs>
        <w:tab w:val="clear" w:pos="3600"/>
        <w:tab w:val="clear" w:pos="3958"/>
      </w:tabs>
      <w:jc w:val="right"/>
    </w:pPr>
  </w:style>
  <w:style w:type="character" w:styleId="Emphasis">
    <w:name w:val="Emphasis"/>
    <w:basedOn w:val="DefaultParagraphFont"/>
    <w:qFormat/>
    <w:rsid w:val="000D4C2F"/>
    <w:rPr>
      <w:i/>
    </w:rPr>
  </w:style>
  <w:style w:type="paragraph" w:styleId="Caption">
    <w:name w:val="caption"/>
    <w:basedOn w:val="BodyText"/>
    <w:next w:val="Normal"/>
    <w:qFormat/>
    <w:rsid w:val="000D4C2F"/>
    <w:pPr>
      <w:framePr w:w="2268" w:hSpace="181" w:vSpace="181" w:wrap="around" w:vAnchor="text" w:hAnchor="page" w:x="1135" w:y="285" w:anchorLock="1"/>
    </w:pPr>
    <w:rPr>
      <w:i/>
    </w:rPr>
  </w:style>
  <w:style w:type="paragraph" w:customStyle="1" w:styleId="MiniTOCTitle">
    <w:name w:val="MiniTOCTitle"/>
    <w:basedOn w:val="Heading4"/>
    <w:rsid w:val="000D4C2F"/>
    <w:pPr>
      <w:spacing w:before="240"/>
      <w:outlineLvl w:val="9"/>
    </w:pPr>
    <w:rPr>
      <w:noProof/>
      <w:sz w:val="24"/>
    </w:rPr>
  </w:style>
  <w:style w:type="paragraph" w:customStyle="1" w:styleId="MiniTOCItem">
    <w:name w:val="MiniTOCItem"/>
    <w:basedOn w:val="ListBullet"/>
    <w:rsid w:val="000D4C2F"/>
    <w:pPr>
      <w:numPr>
        <w:numId w:val="0"/>
      </w:numPr>
      <w:tabs>
        <w:tab w:val="right" w:leader="dot" w:pos="6521"/>
      </w:tabs>
      <w:spacing w:before="0" w:after="0"/>
    </w:pPr>
  </w:style>
  <w:style w:type="paragraph" w:customStyle="1" w:styleId="TOFTitle">
    <w:name w:val="TOFTitle"/>
    <w:basedOn w:val="TOCTitle"/>
    <w:rsid w:val="000D4C2F"/>
  </w:style>
  <w:style w:type="paragraph" w:styleId="TableofFigures">
    <w:name w:val="table of figures"/>
    <w:basedOn w:val="Normal"/>
    <w:next w:val="Normal"/>
    <w:semiHidden/>
    <w:rsid w:val="000D4C2F"/>
    <w:pPr>
      <w:tabs>
        <w:tab w:val="right" w:leader="dot" w:pos="9072"/>
      </w:tabs>
      <w:ind w:left="970" w:hanging="403"/>
    </w:pPr>
    <w:rPr>
      <w:rFonts w:ascii="Times New Roman" w:hAnsi="Times New Roman"/>
      <w:b/>
    </w:rPr>
  </w:style>
  <w:style w:type="paragraph" w:styleId="ListNumber">
    <w:name w:val="List Number"/>
    <w:basedOn w:val="List"/>
    <w:rsid w:val="000D4C2F"/>
    <w:pPr>
      <w:numPr>
        <w:numId w:val="15"/>
      </w:numPr>
      <w:tabs>
        <w:tab w:val="clear" w:pos="340"/>
      </w:tabs>
    </w:pPr>
  </w:style>
  <w:style w:type="character" w:customStyle="1" w:styleId="WingdingSymbols">
    <w:name w:val="Wingding Symbols"/>
    <w:rsid w:val="000D4C2F"/>
    <w:rPr>
      <w:rFonts w:ascii="Wingdings" w:hAnsi="Wingdings"/>
    </w:rPr>
  </w:style>
  <w:style w:type="paragraph" w:customStyle="1" w:styleId="TableHeading">
    <w:name w:val="Table Heading"/>
    <w:basedOn w:val="HeadingBase"/>
    <w:rsid w:val="000D4C2F"/>
    <w:pPr>
      <w:keepLines/>
      <w:pBdr>
        <w:bottom w:val="single" w:sz="6" w:space="1" w:color="918585"/>
      </w:pBdr>
      <w:spacing w:before="240"/>
    </w:pPr>
  </w:style>
  <w:style w:type="character" w:customStyle="1" w:styleId="HotSpot">
    <w:name w:val="HotSpot"/>
    <w:rsid w:val="000D4C2F"/>
    <w:rPr>
      <w:color w:val="0033CC"/>
      <w:u w:val="none"/>
    </w:rPr>
  </w:style>
  <w:style w:type="paragraph" w:customStyle="1" w:styleId="BodyTextRight">
    <w:name w:val="Body Text Right"/>
    <w:basedOn w:val="BodyText"/>
    <w:rsid w:val="000D4C2F"/>
    <w:pPr>
      <w:spacing w:before="0" w:after="0"/>
      <w:jc w:val="right"/>
    </w:pPr>
  </w:style>
  <w:style w:type="paragraph" w:styleId="Index3">
    <w:name w:val="index 3"/>
    <w:basedOn w:val="ListNumber2"/>
    <w:next w:val="Normal"/>
    <w:semiHidden/>
    <w:rsid w:val="000D4C2F"/>
    <w:pPr>
      <w:numPr>
        <w:numId w:val="0"/>
      </w:numPr>
      <w:tabs>
        <w:tab w:val="right" w:leader="dot" w:pos="4176"/>
      </w:tabs>
    </w:pPr>
  </w:style>
  <w:style w:type="paragraph" w:styleId="ListNumber2">
    <w:name w:val="List Number 2"/>
    <w:basedOn w:val="List2"/>
    <w:rsid w:val="000D4C2F"/>
    <w:pPr>
      <w:numPr>
        <w:numId w:val="10"/>
      </w:numPr>
      <w:tabs>
        <w:tab w:val="clear" w:pos="1060"/>
      </w:tabs>
    </w:pPr>
  </w:style>
  <w:style w:type="paragraph" w:customStyle="1" w:styleId="MarginNote">
    <w:name w:val="Margin Note"/>
    <w:basedOn w:val="BodyText"/>
    <w:rsid w:val="000D4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C2F"/>
    <w:rPr>
      <w:sz w:val="32"/>
    </w:rPr>
  </w:style>
  <w:style w:type="paragraph" w:customStyle="1" w:styleId="HeadingProcedure">
    <w:name w:val="Heading Procedure"/>
    <w:basedOn w:val="HeadingBase"/>
    <w:next w:val="Normal"/>
    <w:rsid w:val="000D4C2F"/>
    <w:pPr>
      <w:tabs>
        <w:tab w:val="left" w:pos="0"/>
      </w:tabs>
      <w:spacing w:before="120" w:after="60"/>
    </w:pPr>
    <w:rPr>
      <w:i/>
      <w:color w:val="918585"/>
      <w:sz w:val="22"/>
    </w:rPr>
  </w:style>
  <w:style w:type="paragraph" w:customStyle="1" w:styleId="TableBodyText">
    <w:name w:val="Table Body Text"/>
    <w:basedOn w:val="BodyText"/>
    <w:rsid w:val="000D4C2F"/>
    <w:pPr>
      <w:spacing w:before="60" w:after="60"/>
    </w:pPr>
  </w:style>
  <w:style w:type="paragraph" w:styleId="ListContinue">
    <w:name w:val="List Continue"/>
    <w:basedOn w:val="List"/>
    <w:rsid w:val="000D4C2F"/>
    <w:pPr>
      <w:ind w:firstLine="0"/>
    </w:pPr>
  </w:style>
  <w:style w:type="paragraph" w:customStyle="1" w:styleId="ListNote">
    <w:name w:val="List Note"/>
    <w:basedOn w:val="List"/>
    <w:rsid w:val="000D4C2F"/>
    <w:pPr>
      <w:pBdr>
        <w:top w:val="single" w:sz="6" w:space="2" w:color="918585"/>
        <w:bottom w:val="single" w:sz="6" w:space="2" w:color="918585"/>
      </w:pBdr>
      <w:tabs>
        <w:tab w:val="left" w:pos="1021"/>
      </w:tabs>
      <w:ind w:firstLine="0"/>
    </w:pPr>
  </w:style>
  <w:style w:type="paragraph" w:customStyle="1" w:styleId="Warning">
    <w:name w:val="Warning"/>
    <w:basedOn w:val="BodyText"/>
    <w:rsid w:val="000D4C2F"/>
    <w:pPr>
      <w:shd w:val="clear" w:color="auto" w:fill="D9D9D9"/>
      <w:tabs>
        <w:tab w:val="left" w:pos="992"/>
      </w:tabs>
      <w:ind w:left="119" w:right="119"/>
    </w:pPr>
    <w:rPr>
      <w:sz w:val="20"/>
    </w:rPr>
  </w:style>
  <w:style w:type="paragraph" w:customStyle="1" w:styleId="MarginIcons">
    <w:name w:val="Margin Icons"/>
    <w:basedOn w:val="BodyText"/>
    <w:rsid w:val="000D4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C2F"/>
    <w:rPr>
      <w:rFonts w:ascii="Courier New" w:hAnsi="Courier New"/>
    </w:rPr>
  </w:style>
  <w:style w:type="paragraph" w:customStyle="1" w:styleId="NoteBullet">
    <w:name w:val="Note Bullet"/>
    <w:basedOn w:val="Note"/>
    <w:rsid w:val="000D4C2F"/>
    <w:pPr>
      <w:tabs>
        <w:tab w:val="clear" w:pos="680"/>
      </w:tabs>
      <w:spacing w:before="60" w:after="60"/>
    </w:pPr>
  </w:style>
  <w:style w:type="paragraph" w:customStyle="1" w:styleId="SubHeading2">
    <w:name w:val="SubHeading2"/>
    <w:basedOn w:val="HeadingBase"/>
    <w:rsid w:val="000D4C2F"/>
    <w:pPr>
      <w:spacing w:before="240" w:after="60"/>
    </w:pPr>
    <w:rPr>
      <w:sz w:val="20"/>
    </w:rPr>
  </w:style>
  <w:style w:type="paragraph" w:customStyle="1" w:styleId="SubHeading1">
    <w:name w:val="SubHeading1"/>
    <w:basedOn w:val="HeadingBase"/>
    <w:rsid w:val="000D4C2F"/>
    <w:pPr>
      <w:spacing w:before="240" w:after="60"/>
    </w:pPr>
    <w:rPr>
      <w:color w:val="918585"/>
      <w:sz w:val="22"/>
    </w:rPr>
  </w:style>
  <w:style w:type="paragraph" w:customStyle="1" w:styleId="SideHeading">
    <w:name w:val="Side Heading"/>
    <w:basedOn w:val="HeadingBase"/>
    <w:rsid w:val="000D4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C2F"/>
    <w:pPr>
      <w:tabs>
        <w:tab w:val="num" w:pos="360"/>
      </w:tabs>
    </w:pPr>
  </w:style>
  <w:style w:type="paragraph" w:styleId="PlainText">
    <w:name w:val="Plain Text"/>
    <w:basedOn w:val="Normal"/>
    <w:link w:val="PlainTextChar"/>
    <w:rsid w:val="000D4C2F"/>
    <w:rPr>
      <w:sz w:val="20"/>
    </w:rPr>
  </w:style>
  <w:style w:type="character" w:customStyle="1" w:styleId="PlainTextChar">
    <w:name w:val="Plain Text Char"/>
    <w:basedOn w:val="DefaultParagraphFont"/>
    <w:link w:val="PlainText"/>
    <w:rsid w:val="000D4C2F"/>
    <w:rPr>
      <w:rFonts w:ascii="Courier New" w:eastAsia="Times New Roman" w:hAnsi="Courier New" w:cs="Times New Roman"/>
      <w:sz w:val="20"/>
      <w:szCs w:val="20"/>
      <w:lang w:eastAsia="en-US"/>
    </w:rPr>
  </w:style>
  <w:style w:type="character" w:customStyle="1" w:styleId="MenuOption">
    <w:name w:val="Menu Option"/>
    <w:basedOn w:val="DefaultParagraphFont"/>
    <w:rsid w:val="000D4C2F"/>
    <w:rPr>
      <w:b/>
      <w:smallCaps/>
    </w:rPr>
  </w:style>
  <w:style w:type="paragraph" w:customStyle="1" w:styleId="TableListNumber">
    <w:name w:val="Table List Number"/>
    <w:basedOn w:val="ListNumber"/>
    <w:rsid w:val="000D4C2F"/>
    <w:pPr>
      <w:numPr>
        <w:numId w:val="0"/>
      </w:numPr>
    </w:pPr>
  </w:style>
  <w:style w:type="paragraph" w:styleId="TOC4">
    <w:name w:val="toc 4"/>
    <w:basedOn w:val="TOCBase"/>
    <w:next w:val="Normal"/>
    <w:semiHidden/>
    <w:rsid w:val="000D4C2F"/>
    <w:pPr>
      <w:tabs>
        <w:tab w:val="right" w:leader="dot" w:pos="9071"/>
      </w:tabs>
      <w:ind w:left="1701"/>
    </w:pPr>
  </w:style>
  <w:style w:type="paragraph" w:customStyle="1" w:styleId="ListAlpha">
    <w:name w:val="List Alpha"/>
    <w:basedOn w:val="List"/>
    <w:rsid w:val="000D4C2F"/>
    <w:pPr>
      <w:numPr>
        <w:numId w:val="9"/>
      </w:numPr>
    </w:pPr>
  </w:style>
  <w:style w:type="paragraph" w:customStyle="1" w:styleId="ListAlpha2">
    <w:name w:val="List Alpha 2"/>
    <w:basedOn w:val="List2"/>
    <w:rsid w:val="000D4C2F"/>
    <w:pPr>
      <w:numPr>
        <w:numId w:val="8"/>
      </w:numPr>
    </w:pPr>
  </w:style>
  <w:style w:type="paragraph" w:styleId="List2">
    <w:name w:val="List 2"/>
    <w:basedOn w:val="BodyText"/>
    <w:rsid w:val="000D4C2F"/>
    <w:pPr>
      <w:tabs>
        <w:tab w:val="left" w:pos="680"/>
      </w:tabs>
      <w:spacing w:before="60" w:after="60"/>
      <w:ind w:left="680" w:hanging="340"/>
    </w:pPr>
  </w:style>
  <w:style w:type="paragraph" w:styleId="List3">
    <w:name w:val="List 3"/>
    <w:basedOn w:val="BodyText"/>
    <w:rsid w:val="000D4C2F"/>
    <w:pPr>
      <w:tabs>
        <w:tab w:val="left" w:pos="1021"/>
      </w:tabs>
      <w:spacing w:before="60" w:after="60"/>
      <w:ind w:left="1020" w:hanging="340"/>
    </w:pPr>
  </w:style>
  <w:style w:type="paragraph" w:styleId="List4">
    <w:name w:val="List 4"/>
    <w:basedOn w:val="BodyText"/>
    <w:rsid w:val="000D4C2F"/>
    <w:pPr>
      <w:tabs>
        <w:tab w:val="left" w:pos="1361"/>
      </w:tabs>
      <w:spacing w:before="60" w:after="60"/>
      <w:ind w:left="1361" w:hanging="340"/>
    </w:pPr>
  </w:style>
  <w:style w:type="paragraph" w:styleId="List5">
    <w:name w:val="List 5"/>
    <w:basedOn w:val="BodyText"/>
    <w:rsid w:val="000D4C2F"/>
    <w:pPr>
      <w:tabs>
        <w:tab w:val="left" w:pos="1701"/>
      </w:tabs>
      <w:spacing w:before="60" w:after="60"/>
      <w:ind w:left="1701" w:hanging="340"/>
    </w:pPr>
  </w:style>
  <w:style w:type="paragraph" w:styleId="ListBullet3">
    <w:name w:val="List Bullet 3"/>
    <w:basedOn w:val="List3"/>
    <w:rsid w:val="000D4C2F"/>
    <w:pPr>
      <w:numPr>
        <w:numId w:val="14"/>
      </w:numPr>
      <w:tabs>
        <w:tab w:val="clear" w:pos="1021"/>
      </w:tabs>
      <w:ind w:left="1037" w:hanging="357"/>
    </w:pPr>
  </w:style>
  <w:style w:type="paragraph" w:styleId="ListBullet4">
    <w:name w:val="List Bullet 4"/>
    <w:basedOn w:val="List4"/>
    <w:rsid w:val="000D4C2F"/>
    <w:pPr>
      <w:numPr>
        <w:numId w:val="3"/>
      </w:numPr>
      <w:tabs>
        <w:tab w:val="clear" w:pos="1361"/>
      </w:tabs>
    </w:pPr>
  </w:style>
  <w:style w:type="paragraph" w:styleId="ListBullet5">
    <w:name w:val="List Bullet 5"/>
    <w:basedOn w:val="List5"/>
    <w:rsid w:val="000D4C2F"/>
    <w:pPr>
      <w:numPr>
        <w:numId w:val="4"/>
      </w:numPr>
    </w:pPr>
  </w:style>
  <w:style w:type="paragraph" w:styleId="ListContinue2">
    <w:name w:val="List Continue 2"/>
    <w:basedOn w:val="List2"/>
    <w:rsid w:val="000D4C2F"/>
    <w:pPr>
      <w:ind w:firstLine="0"/>
    </w:pPr>
  </w:style>
  <w:style w:type="paragraph" w:styleId="ListContinue3">
    <w:name w:val="List Continue 3"/>
    <w:basedOn w:val="List3"/>
    <w:rsid w:val="000D4C2F"/>
    <w:pPr>
      <w:ind w:left="1021" w:firstLine="0"/>
    </w:pPr>
  </w:style>
  <w:style w:type="paragraph" w:styleId="ListContinue4">
    <w:name w:val="List Continue 4"/>
    <w:basedOn w:val="List4"/>
    <w:rsid w:val="000D4C2F"/>
    <w:pPr>
      <w:ind w:firstLine="0"/>
    </w:pPr>
  </w:style>
  <w:style w:type="paragraph" w:styleId="ListContinue5">
    <w:name w:val="List Continue 5"/>
    <w:basedOn w:val="List5"/>
    <w:rsid w:val="000D4C2F"/>
    <w:pPr>
      <w:ind w:firstLine="0"/>
    </w:pPr>
  </w:style>
  <w:style w:type="paragraph" w:styleId="ListNumber3">
    <w:name w:val="List Number 3"/>
    <w:basedOn w:val="List3"/>
    <w:rsid w:val="000D4C2F"/>
    <w:pPr>
      <w:numPr>
        <w:numId w:val="5"/>
      </w:numPr>
    </w:pPr>
  </w:style>
  <w:style w:type="paragraph" w:styleId="ListNumber4">
    <w:name w:val="List Number 4"/>
    <w:basedOn w:val="List4"/>
    <w:rsid w:val="000D4C2F"/>
    <w:pPr>
      <w:numPr>
        <w:numId w:val="6"/>
      </w:numPr>
    </w:pPr>
  </w:style>
  <w:style w:type="paragraph" w:styleId="ListNumber5">
    <w:name w:val="List Number 5"/>
    <w:basedOn w:val="List5"/>
    <w:rsid w:val="000D4C2F"/>
    <w:pPr>
      <w:numPr>
        <w:numId w:val="7"/>
      </w:numPr>
    </w:pPr>
  </w:style>
  <w:style w:type="paragraph" w:styleId="BlockText">
    <w:name w:val="Block Text"/>
    <w:basedOn w:val="Normal"/>
    <w:rsid w:val="000D4C2F"/>
    <w:pPr>
      <w:spacing w:after="120"/>
      <w:ind w:left="1440" w:right="1440"/>
    </w:pPr>
  </w:style>
  <w:style w:type="character" w:customStyle="1" w:styleId="Subscript">
    <w:name w:val="Subscript"/>
    <w:basedOn w:val="DefaultParagraphFont"/>
    <w:rsid w:val="000D4C2F"/>
    <w:rPr>
      <w:sz w:val="16"/>
      <w:vertAlign w:val="subscript"/>
    </w:rPr>
  </w:style>
  <w:style w:type="character" w:customStyle="1" w:styleId="Superscript">
    <w:name w:val="Superscript"/>
    <w:basedOn w:val="DefaultParagraphFont"/>
    <w:rsid w:val="000D4C2F"/>
    <w:rPr>
      <w:sz w:val="16"/>
      <w:vertAlign w:val="superscript"/>
    </w:rPr>
  </w:style>
  <w:style w:type="character" w:customStyle="1" w:styleId="Symbols">
    <w:name w:val="Symbols"/>
    <w:basedOn w:val="DefaultParagraphFont"/>
    <w:rsid w:val="000D4C2F"/>
    <w:rPr>
      <w:rFonts w:ascii="Symbol" w:hAnsi="Symbol"/>
    </w:rPr>
  </w:style>
  <w:style w:type="character" w:customStyle="1" w:styleId="MenuOptions">
    <w:name w:val="Menu Options"/>
    <w:basedOn w:val="DefaultParagraphFont"/>
    <w:rsid w:val="000D4C2F"/>
    <w:rPr>
      <w:rFonts w:ascii="Arial Narrow" w:hAnsi="Arial Narrow"/>
      <w:smallCaps/>
    </w:rPr>
  </w:style>
  <w:style w:type="character" w:customStyle="1" w:styleId="Buttons">
    <w:name w:val="Buttons"/>
    <w:basedOn w:val="DefaultParagraphFont"/>
    <w:rsid w:val="000D4C2F"/>
    <w:rPr>
      <w:b/>
    </w:rPr>
  </w:style>
  <w:style w:type="character" w:customStyle="1" w:styleId="Underlined">
    <w:name w:val="Underlined"/>
    <w:basedOn w:val="DefaultParagraphFont"/>
    <w:rsid w:val="000D4C2F"/>
    <w:rPr>
      <w:u w:val="single"/>
    </w:rPr>
  </w:style>
  <w:style w:type="paragraph" w:customStyle="1" w:styleId="TableBodyTextRight">
    <w:name w:val="Table Body Text Right"/>
    <w:basedOn w:val="TableBodyText"/>
    <w:rsid w:val="000D4C2F"/>
    <w:pPr>
      <w:widowControl w:val="0"/>
      <w:autoSpaceDE w:val="0"/>
      <w:autoSpaceDN w:val="0"/>
      <w:adjustRightInd w:val="0"/>
      <w:jc w:val="right"/>
    </w:pPr>
    <w:rPr>
      <w:rFonts w:cs="Arial"/>
      <w:szCs w:val="18"/>
    </w:rPr>
  </w:style>
  <w:style w:type="paragraph" w:customStyle="1" w:styleId="CopyrightText">
    <w:name w:val="Copyright Text"/>
    <w:basedOn w:val="BodyText"/>
    <w:rsid w:val="000D4C2F"/>
    <w:rPr>
      <w:sz w:val="18"/>
    </w:rPr>
  </w:style>
  <w:style w:type="paragraph" w:customStyle="1" w:styleId="BodySmallRight">
    <w:name w:val="Body Small Right"/>
    <w:basedOn w:val="BodyTextRight"/>
    <w:rsid w:val="000D4C2F"/>
    <w:rPr>
      <w:sz w:val="18"/>
      <w:szCs w:val="18"/>
    </w:rPr>
  </w:style>
  <w:style w:type="paragraph" w:customStyle="1" w:styleId="MarginEdition">
    <w:name w:val="Margin Edition"/>
    <w:basedOn w:val="MarginNote"/>
    <w:rsid w:val="000D4C2F"/>
    <w:pPr>
      <w:spacing w:before="0" w:after="0"/>
    </w:pPr>
    <w:rPr>
      <w:rFonts w:ascii="Times New Roman" w:hAnsi="Times New Roman"/>
      <w:color w:val="999999"/>
    </w:rPr>
  </w:style>
  <w:style w:type="paragraph" w:customStyle="1" w:styleId="Spacer">
    <w:name w:val="Spacer"/>
    <w:basedOn w:val="Normal"/>
    <w:rsid w:val="000D4C2F"/>
    <w:rPr>
      <w:sz w:val="2"/>
      <w:szCs w:val="2"/>
    </w:rPr>
  </w:style>
  <w:style w:type="character" w:customStyle="1" w:styleId="Small">
    <w:name w:val="Small"/>
    <w:basedOn w:val="DefaultParagraphFont"/>
    <w:rsid w:val="000D4C2F"/>
    <w:rPr>
      <w:sz w:val="16"/>
    </w:rPr>
  </w:style>
  <w:style w:type="paragraph" w:customStyle="1" w:styleId="WideTable">
    <w:name w:val="Wide Table"/>
    <w:basedOn w:val="Normal"/>
    <w:rsid w:val="000D4C2F"/>
    <w:pPr>
      <w:ind w:left="-1418"/>
    </w:pPr>
    <w:rPr>
      <w:sz w:val="2"/>
      <w:szCs w:val="2"/>
    </w:rPr>
  </w:style>
  <w:style w:type="character" w:styleId="PageNumber">
    <w:name w:val="page number"/>
    <w:basedOn w:val="DefaultParagraphFont"/>
    <w:rsid w:val="000D4C2F"/>
  </w:style>
  <w:style w:type="paragraph" w:styleId="Quote">
    <w:name w:val="Quote"/>
    <w:basedOn w:val="Heading1"/>
    <w:link w:val="QuoteChar"/>
    <w:qFormat/>
    <w:rsid w:val="000D4C2F"/>
    <w:rPr>
      <w:b w:val="0"/>
      <w:sz w:val="72"/>
      <w:szCs w:val="72"/>
      <w:lang w:val="en-NZ"/>
    </w:rPr>
  </w:style>
  <w:style w:type="character" w:customStyle="1" w:styleId="QuoteChar">
    <w:name w:val="Quote Char"/>
    <w:basedOn w:val="DefaultParagraphFont"/>
    <w:link w:val="Quote"/>
    <w:rsid w:val="000D4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C2F"/>
    <w:pPr>
      <w:pageBreakBefore/>
    </w:pPr>
  </w:style>
  <w:style w:type="paragraph" w:customStyle="1" w:styleId="Border">
    <w:name w:val="Border"/>
    <w:basedOn w:val="Normal"/>
    <w:qFormat/>
    <w:rsid w:val="000D4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C2F"/>
    <w:rPr>
      <w:b/>
      <w:bCs/>
      <w:i/>
      <w:iCs/>
      <w:color w:val="auto"/>
    </w:rPr>
  </w:style>
  <w:style w:type="paragraph" w:styleId="IntenseQuote">
    <w:name w:val="Intense Quote"/>
    <w:basedOn w:val="Normal"/>
    <w:next w:val="Normal"/>
    <w:link w:val="IntenseQuoteChar"/>
    <w:uiPriority w:val="30"/>
    <w:qFormat/>
    <w:rsid w:val="000D4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C2F"/>
    <w:rPr>
      <w:smallCaps/>
      <w:color w:val="auto"/>
      <w:u w:val="single"/>
    </w:rPr>
  </w:style>
  <w:style w:type="character" w:styleId="IntenseReference">
    <w:name w:val="Intense Reference"/>
    <w:basedOn w:val="DefaultParagraphFont"/>
    <w:uiPriority w:val="32"/>
    <w:qFormat/>
    <w:rsid w:val="000D4C2F"/>
    <w:rPr>
      <w:b/>
      <w:bCs/>
      <w:smallCaps/>
      <w:color w:val="auto"/>
      <w:spacing w:val="5"/>
      <w:u w:val="single"/>
    </w:rPr>
  </w:style>
  <w:style w:type="paragraph" w:customStyle="1" w:styleId="2ColumnHeading">
    <w:name w:val="2Column Heading"/>
    <w:basedOn w:val="BodyText"/>
    <w:qFormat/>
    <w:rsid w:val="000D4C2F"/>
    <w:pPr>
      <w:spacing w:after="60"/>
      <w:ind w:left="-2268"/>
    </w:pPr>
    <w:rPr>
      <w:b/>
    </w:rPr>
  </w:style>
  <w:style w:type="paragraph" w:customStyle="1" w:styleId="Heading1TOC">
    <w:name w:val="Heading1 TOC"/>
    <w:basedOn w:val="Normal"/>
    <w:qFormat/>
    <w:rsid w:val="000D4C2F"/>
    <w:pPr>
      <w:spacing w:before="240" w:after="120"/>
    </w:pPr>
    <w:rPr>
      <w:rFonts w:ascii="Times New Roman" w:hAnsi="Times New Roman"/>
      <w:b/>
      <w:sz w:val="32"/>
    </w:rPr>
  </w:style>
  <w:style w:type="paragraph" w:customStyle="1" w:styleId="Heading2TOC">
    <w:name w:val="Heading2 TOC"/>
    <w:basedOn w:val="Normal"/>
    <w:qFormat/>
    <w:rsid w:val="000D4C2F"/>
    <w:pPr>
      <w:spacing w:before="240" w:after="60"/>
    </w:pPr>
    <w:rPr>
      <w:rFonts w:ascii="Times New Roman" w:hAnsi="Times New Roman"/>
      <w:b/>
      <w:sz w:val="28"/>
    </w:rPr>
  </w:style>
  <w:style w:type="character" w:customStyle="1" w:styleId="Underline">
    <w:name w:val="Underline"/>
    <w:basedOn w:val="DefaultParagraphFont"/>
    <w:qFormat/>
    <w:rsid w:val="000D4C2F"/>
    <w:rPr>
      <w:u w:val="single"/>
    </w:rPr>
  </w:style>
  <w:style w:type="character" w:customStyle="1" w:styleId="BoldandItalics">
    <w:name w:val="Bold and Italics"/>
    <w:qFormat/>
    <w:rsid w:val="000D4C2F"/>
    <w:rPr>
      <w:b/>
      <w:i/>
      <w:u w:val="none"/>
    </w:rPr>
  </w:style>
  <w:style w:type="paragraph" w:styleId="BalloonText">
    <w:name w:val="Balloon Text"/>
    <w:basedOn w:val="Normal"/>
    <w:link w:val="BalloonTextChar"/>
    <w:rsid w:val="000D4C2F"/>
    <w:rPr>
      <w:rFonts w:ascii="Tahoma" w:hAnsi="Tahoma" w:cs="Tahoma"/>
      <w:sz w:val="16"/>
      <w:szCs w:val="16"/>
    </w:rPr>
  </w:style>
  <w:style w:type="character" w:customStyle="1" w:styleId="BalloonTextChar">
    <w:name w:val="Balloon Text Char"/>
    <w:basedOn w:val="DefaultParagraphFont"/>
    <w:link w:val="BalloonText"/>
    <w:rsid w:val="000D4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C2F"/>
    <w:rPr>
      <w:b/>
      <w:color w:val="660033"/>
      <w:spacing w:val="0"/>
    </w:rPr>
  </w:style>
  <w:style w:type="paragraph" w:customStyle="1" w:styleId="Nameditemlist">
    <w:name w:val="Named item list"/>
    <w:basedOn w:val="BodyText"/>
    <w:qFormat/>
    <w:rsid w:val="000D4C2F"/>
    <w:pPr>
      <w:tabs>
        <w:tab w:val="left" w:pos="2835"/>
      </w:tabs>
      <w:ind w:left="2835" w:hanging="2835"/>
    </w:pPr>
  </w:style>
  <w:style w:type="paragraph" w:customStyle="1" w:styleId="BodyTextnopadding">
    <w:name w:val="Body Text no padding"/>
    <w:basedOn w:val="BodyText"/>
    <w:qFormat/>
    <w:rsid w:val="000D4C2F"/>
    <w:pPr>
      <w:spacing w:before="0" w:after="0"/>
    </w:pPr>
  </w:style>
  <w:style w:type="paragraph" w:customStyle="1" w:styleId="BodyTextBold">
    <w:name w:val="Body Text Bold"/>
    <w:basedOn w:val="BodyText"/>
    <w:qFormat/>
    <w:rsid w:val="000D4C2F"/>
    <w:rPr>
      <w:b/>
    </w:rPr>
  </w:style>
  <w:style w:type="character" w:styleId="Hyperlink">
    <w:name w:val="Hyperlink"/>
    <w:basedOn w:val="DefaultParagraphFont"/>
    <w:uiPriority w:val="99"/>
    <w:unhideWhenUsed/>
    <w:rsid w:val="00443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1474</Words>
  <Characters>9395</Characters>
  <Application>Microsoft Office Word</Application>
  <DocSecurity>0</DocSecurity>
  <Lines>323</Lines>
  <Paragraphs>162</Paragraphs>
  <ScaleCrop>false</ScaleCrop>
  <Company>Author-it Software Corporation Ltd.</Company>
  <LinksUpToDate>false</LinksUpToDate>
  <CharactersWithSpaces>10707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AVIO0031 Conduct secondary screening of persons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