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AC5" w:rsidP="000A6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AVIO0030 Conduct screening using explosive trace detection equipment</w:t>
      </w:r>
      <w:r>
        <w:fldChar w:fldCharType="end"/>
      </w:r>
    </w:p>
    <w:p w:rsidR="000A6AC5" w:rsidP="000A6AC5">
      <w:pPr>
        <w:pStyle w:val="Version"/>
        <w:sectPr w:rsidSect="00AE4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649" w:rsidP="00AE4649">
      <w:pPr>
        <w:pStyle w:val="SuperHeading"/>
      </w:pPr>
      <w:r w:rsidRPr="00AE4649">
        <w:t>AVIO0030 Conduct screening using explosive trace detection equipment</w:t>
      </w:r>
    </w:p>
    <w:p w:rsidR="00000000" w:rsidRPr="00AE4649" w:rsidP="00AE4649">
      <w:pPr>
        <w:pStyle w:val="Heading1"/>
      </w:pPr>
      <w:bookmarkStart w:id="1" w:name="O_1297233"/>
      <w:bookmarkEnd w:id="1"/>
      <w:r w:rsidRPr="00AE46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Release 1. This is the first release of this unit of competency in the AVI Aviation Training Package.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2" w:name="O_1297234"/>
      <w:bookmarkEnd w:id="2"/>
      <w:r w:rsidRPr="00AE46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This unit involves the skills and knowledge required to conduct screening using explosive trace detection (ETD) in a transport security environment, in compliance with relevant regulatory requirements and workplace procedures.</w:t>
            </w:r>
          </w:p>
          <w:p w:rsidR="00000000" w:rsidRPr="00AE4649" w:rsidP="00AE4649">
            <w:pPr>
              <w:pStyle w:val="BodyText"/>
            </w:pPr>
            <w:r w:rsidRPr="00AE4649">
              <w:t>It includes setting up, check</w:t>
            </w:r>
            <w:r w:rsidRPr="00AE4649">
              <w:t>ing and operating ETD equipment; conducting ETD sampling processes and responding to results of sample; and recording ETD analysis information for evidential purposes.</w:t>
            </w:r>
          </w:p>
          <w:p w:rsidR="00000000" w:rsidRPr="00AE4649" w:rsidP="00AE4649">
            <w:pPr>
              <w:pStyle w:val="BodyText"/>
            </w:pPr>
            <w:r w:rsidRPr="00AE4649">
              <w:t>This unit addresses transport security technical skill requirements (physical, mental an</w:t>
            </w:r>
            <w:r w:rsidRPr="00AE4649">
              <w:t>d task-management abilities) related to transport security duties of aviation, maritime and air cargo security personnel, and contributes to safe and effective performance in operational transport security environments.</w:t>
            </w:r>
          </w:p>
          <w:p w:rsidR="00000000" w:rsidRPr="00AE4649" w:rsidP="00AE4649">
            <w:pPr>
              <w:pStyle w:val="BodyText"/>
            </w:pPr>
            <w:r w:rsidRPr="00AE4649">
              <w:t>Operations are conducted across a va</w:t>
            </w:r>
            <w:r w:rsidRPr="00AE4649">
              <w:t>riety of operational contexts within the Australian transport security environment.</w:t>
            </w:r>
          </w:p>
          <w:p w:rsidR="00000000" w:rsidRPr="00AE4649" w:rsidP="00AE4649">
            <w:pPr>
              <w:pStyle w:val="BodyText"/>
            </w:pPr>
            <w:r w:rsidRPr="00AE4649">
              <w:t>Licensing, legislative, regulatory or certification requirements are applicable to this unit.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3" w:name="O_1297235"/>
      <w:bookmarkEnd w:id="3"/>
      <w:r w:rsidRPr="00AE46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Not applicable.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4" w:name="O_1297236"/>
      <w:bookmarkEnd w:id="4"/>
      <w:r w:rsidRPr="00AE4649">
        <w:t>C</w:t>
      </w:r>
      <w:r w:rsidRPr="00AE4649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O – Security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5" w:name="O_1297237"/>
      <w:bookmarkEnd w:id="5"/>
      <w:r w:rsidRPr="00AE46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Not applicable.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6" w:name="O_1297238"/>
      <w:bookmarkEnd w:id="6"/>
      <w:r w:rsidRPr="00AE46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29"/>
        <w:gridCol w:w="821"/>
        <w:gridCol w:w="5541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rPr>
                <w:rStyle w:val="SpecialBold"/>
              </w:rPr>
              <w:t>ELEMENTS</w:t>
            </w:r>
          </w:p>
        </w:tc>
        <w:tc>
          <w:tcPr>
            <w:tcW w:w="63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PERFORMANCE CRITERIA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Elements describe the essential outcomes.</w:t>
            </w:r>
          </w:p>
        </w:tc>
        <w:tc>
          <w:tcPr>
            <w:tcW w:w="63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Performance criteria describe the performance needed to demonstrate achievement of the element.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rPr>
                <w:rStyle w:val="SpecialBold"/>
              </w:rPr>
              <w:t xml:space="preserve">1 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rPr>
                <w:rStyle w:val="SpecialBold"/>
              </w:rPr>
              <w:t>Set up, check and operate ETD equipment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Correct procedures for setting up ETD equipment in a transport workplace are followed in accordance with legisl</w:t>
            </w:r>
            <w:r w:rsidRPr="00AE4649">
              <w:t>ative requirements and workplace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ETD equipment checks are performed and appropriate action is taken in accordance with legislative requirements and workplace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1.3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ETD equipment calibration is performed at set up and during operations in accordance with legislative requirements and workplace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1.4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ETD equipment is operated in accordance with legislative requirements, manufacturer instructions and workplac</w:t>
            </w:r>
            <w:r w:rsidRPr="00AE4649">
              <w:t>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1.5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Work health and safety (WHS)/occupational health and safety (OHS) procedures are followed when setting up and operating ETD equipment in accordance with legislative requirements and workplace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rPr>
                <w:rStyle w:val="SpecialBold"/>
              </w:rPr>
              <w:t>2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rPr>
                <w:rStyle w:val="SpecialBold"/>
              </w:rPr>
              <w:t>Conduct ETD sampling processes</w:t>
            </w:r>
            <w:r w:rsidRPr="00AE4649">
              <w:rPr>
                <w:rStyle w:val="SpecialBold"/>
              </w:rPr>
              <w:t xml:space="preserve"> and respond to results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Persons or articles are selected and screened using ETD equipment, in accordance with legislative requirements and workplace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Sample is tested using ETD equipment in accordance with legislative requirements, manufacturer instructions and workplace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Positive and negative results are recognised and appropriate action taken in accordance with legislative requirement</w:t>
            </w:r>
            <w:r w:rsidRPr="00AE4649">
              <w:t>s and workplace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rPr>
                <w:rStyle w:val="SpecialBold"/>
              </w:rPr>
              <w:t>3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rPr>
                <w:rStyle w:val="SpecialBold"/>
              </w:rPr>
              <w:t>Record ETD analysis information for evidential purposes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t>Equipment checks and calibration results are recorded and reported in accordance with legislative requirements and workplace procedures</w:t>
            </w:r>
          </w:p>
        </w:tc>
      </w:tr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49">
            <w:pPr>
              <w:pStyle w:val="BodyText"/>
              <w:rPr>
                <w:lang w:val="en-NZ"/>
              </w:rPr>
            </w:pPr>
            <w:r w:rsidRPr="00AE4649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Records of sampling processes, positive and negative results and consequent actions are completed in accordance with legislative requirements and workplace procedures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7" w:name="O_1297239"/>
      <w:bookmarkEnd w:id="7"/>
      <w:r w:rsidRPr="00AE46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Foundation skills essential to performance are exp</w:t>
            </w:r>
            <w:r w:rsidRPr="00AE4649">
              <w:t xml:space="preserve">licit in the performance criteria of this unit of </w:t>
            </w:r>
            <w:r w:rsidRPr="00AE4649">
              <w:t>competency.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8" w:name="O_1297240"/>
      <w:bookmarkEnd w:id="8"/>
      <w:r w:rsidRPr="00AE46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Range is restricted to essential operating conditions and any other variables essential to the work environment.</w:t>
            </w:r>
          </w:p>
          <w:p w:rsidR="00000000" w:rsidRPr="00AE4649" w:rsidP="00AE4649">
            <w:pPr>
              <w:pStyle w:val="BodyText"/>
            </w:pPr>
            <w:r w:rsidRPr="00AE4649">
              <w:t>Non-essential conditions may be found in the Companion Volume Implementation Guide.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9" w:name="O_1297241"/>
      <w:bookmarkEnd w:id="9"/>
      <w:r w:rsidRPr="00AE46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49" w:rsidP="00AE4649">
            <w:pPr>
              <w:pStyle w:val="BodyText"/>
            </w:pPr>
            <w:r w:rsidRPr="00AE4649">
              <w:t>This unit replaces and is equivalent to AVIO0005 Conduct screening using explosive trace detection.</w:t>
            </w:r>
          </w:p>
        </w:tc>
      </w:tr>
    </w:tbl>
    <w:p w:rsidR="00000000" w:rsidRPr="00AE4649" w:rsidP="00AE4649">
      <w:pPr>
        <w:pStyle w:val="NoPaddingFontSize1"/>
      </w:pPr>
    </w:p>
    <w:p w:rsidR="00000000" w:rsidRPr="00AE4649" w:rsidP="00AE4649">
      <w:pPr>
        <w:pStyle w:val="AllowPageBreak"/>
      </w:pPr>
    </w:p>
    <w:p w:rsidR="00000000" w:rsidRPr="00AE4649" w:rsidP="00AE4649">
      <w:pPr>
        <w:pStyle w:val="Heading1"/>
      </w:pPr>
      <w:bookmarkStart w:id="10" w:name="O_1297248"/>
      <w:bookmarkEnd w:id="10"/>
      <w:r w:rsidRPr="00AE4649">
        <w:t>Links</w:t>
      </w:r>
    </w:p>
    <w:p w:rsidR="00000000" w:rsidRPr="00AE4649" w:rsidP="000A6AC5">
      <w:pPr>
        <w:pStyle w:val="BodyText"/>
      </w:pPr>
      <w:r w:rsidRPr="00AE4649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C7CC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E4649" w:rsidP="00AE4649"/>
    <w:sectPr w:rsidSect="00AE46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49" w:rsidRPr="000A6AC5" w:rsidP="000A6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C5" w:rsidP="00AE4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AC5" w:rsidP="00AE4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A6AC5" w:rsidP="00AE4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649" w:rsidRPr="000A6AC5" w:rsidP="000A6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C5" w:rsidRPr="002D2AF8" w:rsidP="00AE4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AVIO0030 Conduct screening using explosive trace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0A6AC5" w:rsidP="00AE4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649"/>
  </w:style>
  <w:style w:type="character" w:customStyle="1" w:styleId="Heading1Char">
    <w:name w:val="Heading 1 Char"/>
    <w:basedOn w:val="DefaultParagraphFont"/>
    <w:link w:val="Heading1"/>
    <w:rsid w:val="00AE4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6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4649"/>
    <w:rPr>
      <w:b/>
      <w:spacing w:val="0"/>
    </w:rPr>
  </w:style>
  <w:style w:type="paragraph" w:customStyle="1" w:styleId="SuperHeading">
    <w:name w:val="SuperHeading"/>
    <w:basedOn w:val="Normal"/>
    <w:rsid w:val="00AE4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4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6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6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4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6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649"/>
    <w:rPr>
      <w:i/>
    </w:rPr>
  </w:style>
  <w:style w:type="paragraph" w:styleId="Caption">
    <w:name w:val="caption"/>
    <w:basedOn w:val="BodyText"/>
    <w:next w:val="Normal"/>
    <w:qFormat/>
    <w:rsid w:val="00AE4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649"/>
  </w:style>
  <w:style w:type="paragraph" w:styleId="TableofFigures">
    <w:name w:val="table of figures"/>
    <w:basedOn w:val="Normal"/>
    <w:next w:val="Normal"/>
    <w:semiHidden/>
    <w:rsid w:val="00AE4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6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4649"/>
    <w:rPr>
      <w:rFonts w:ascii="Wingdings" w:hAnsi="Wingdings"/>
    </w:rPr>
  </w:style>
  <w:style w:type="paragraph" w:customStyle="1" w:styleId="TableHeading">
    <w:name w:val="Table Heading"/>
    <w:basedOn w:val="HeadingBase"/>
    <w:rsid w:val="00AE4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649"/>
    <w:rPr>
      <w:color w:val="0033CC"/>
      <w:u w:val="none"/>
    </w:rPr>
  </w:style>
  <w:style w:type="paragraph" w:customStyle="1" w:styleId="BodyTextRight">
    <w:name w:val="Body Text Right"/>
    <w:basedOn w:val="BodyText"/>
    <w:rsid w:val="00AE4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6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649"/>
    <w:rPr>
      <w:sz w:val="32"/>
    </w:rPr>
  </w:style>
  <w:style w:type="paragraph" w:customStyle="1" w:styleId="HeadingProcedure">
    <w:name w:val="Heading Procedure"/>
    <w:basedOn w:val="HeadingBase"/>
    <w:next w:val="Normal"/>
    <w:rsid w:val="00AE4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649"/>
    <w:pPr>
      <w:spacing w:before="60" w:after="60"/>
    </w:pPr>
  </w:style>
  <w:style w:type="paragraph" w:styleId="ListContinue">
    <w:name w:val="List Continue"/>
    <w:basedOn w:val="List"/>
    <w:rsid w:val="00AE4649"/>
    <w:pPr>
      <w:ind w:firstLine="0"/>
    </w:pPr>
  </w:style>
  <w:style w:type="paragraph" w:customStyle="1" w:styleId="ListNote">
    <w:name w:val="List Note"/>
    <w:basedOn w:val="List"/>
    <w:rsid w:val="00AE4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649"/>
    <w:rPr>
      <w:rFonts w:ascii="Courier New" w:hAnsi="Courier New"/>
    </w:rPr>
  </w:style>
  <w:style w:type="paragraph" w:customStyle="1" w:styleId="NoteBullet">
    <w:name w:val="Note Bullet"/>
    <w:basedOn w:val="Note"/>
    <w:rsid w:val="00AE4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6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4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649"/>
    <w:rPr>
      <w:b/>
      <w:smallCaps/>
    </w:rPr>
  </w:style>
  <w:style w:type="paragraph" w:customStyle="1" w:styleId="TableListNumber">
    <w:name w:val="Table List Number"/>
    <w:basedOn w:val="ListNumber"/>
    <w:rsid w:val="00AE4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649"/>
    <w:pPr>
      <w:numPr>
        <w:numId w:val="7"/>
      </w:numPr>
    </w:pPr>
  </w:style>
  <w:style w:type="paragraph" w:customStyle="1" w:styleId="ListAlpha2">
    <w:name w:val="List Alpha 2"/>
    <w:basedOn w:val="List2"/>
    <w:rsid w:val="00AE4649"/>
    <w:pPr>
      <w:numPr>
        <w:numId w:val="6"/>
      </w:numPr>
    </w:pPr>
  </w:style>
  <w:style w:type="paragraph" w:styleId="List2">
    <w:name w:val="List 2"/>
    <w:basedOn w:val="BodyText"/>
    <w:rsid w:val="00AE4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6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6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4649"/>
    <w:pPr>
      <w:numPr>
        <w:numId w:val="2"/>
      </w:numPr>
    </w:pPr>
  </w:style>
  <w:style w:type="paragraph" w:styleId="ListContinue2">
    <w:name w:val="List Continue 2"/>
    <w:basedOn w:val="List2"/>
    <w:rsid w:val="00AE4649"/>
    <w:pPr>
      <w:ind w:firstLine="0"/>
    </w:pPr>
  </w:style>
  <w:style w:type="paragraph" w:styleId="ListContinue3">
    <w:name w:val="List Continue 3"/>
    <w:basedOn w:val="List3"/>
    <w:rsid w:val="00AE4649"/>
    <w:pPr>
      <w:ind w:left="1021" w:firstLine="0"/>
    </w:pPr>
  </w:style>
  <w:style w:type="paragraph" w:styleId="ListContinue4">
    <w:name w:val="List Continue 4"/>
    <w:basedOn w:val="List4"/>
    <w:rsid w:val="00AE4649"/>
    <w:pPr>
      <w:ind w:firstLine="0"/>
    </w:pPr>
  </w:style>
  <w:style w:type="paragraph" w:styleId="ListContinue5">
    <w:name w:val="List Continue 5"/>
    <w:basedOn w:val="List5"/>
    <w:rsid w:val="00AE4649"/>
    <w:pPr>
      <w:ind w:firstLine="0"/>
    </w:pPr>
  </w:style>
  <w:style w:type="paragraph" w:styleId="ListNumber3">
    <w:name w:val="List Number 3"/>
    <w:basedOn w:val="List3"/>
    <w:rsid w:val="00AE4649"/>
    <w:pPr>
      <w:numPr>
        <w:numId w:val="3"/>
      </w:numPr>
    </w:pPr>
  </w:style>
  <w:style w:type="paragraph" w:styleId="ListNumber4">
    <w:name w:val="List Number 4"/>
    <w:basedOn w:val="List4"/>
    <w:rsid w:val="00AE4649"/>
    <w:pPr>
      <w:numPr>
        <w:numId w:val="4"/>
      </w:numPr>
    </w:pPr>
  </w:style>
  <w:style w:type="paragraph" w:styleId="ListNumber5">
    <w:name w:val="List Number 5"/>
    <w:basedOn w:val="List5"/>
    <w:rsid w:val="00AE4649"/>
    <w:pPr>
      <w:numPr>
        <w:numId w:val="5"/>
      </w:numPr>
    </w:pPr>
  </w:style>
  <w:style w:type="paragraph" w:styleId="BlockText">
    <w:name w:val="Block Text"/>
    <w:basedOn w:val="Normal"/>
    <w:rsid w:val="00AE4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649"/>
    <w:rPr>
      <w:sz w:val="16"/>
      <w:vertAlign w:val="superscript"/>
    </w:rPr>
  </w:style>
  <w:style w:type="character" w:customStyle="1" w:styleId="Symbols">
    <w:name w:val="Symbols"/>
    <w:basedOn w:val="DefaultParagraphFont"/>
    <w:rsid w:val="00AE4649"/>
    <w:rPr>
      <w:rFonts w:ascii="Symbol" w:hAnsi="Symbol"/>
    </w:rPr>
  </w:style>
  <w:style w:type="character" w:customStyle="1" w:styleId="MenuOptions">
    <w:name w:val="Menu Options"/>
    <w:basedOn w:val="DefaultParagraphFont"/>
    <w:rsid w:val="00AE4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649"/>
    <w:rPr>
      <w:b/>
    </w:rPr>
  </w:style>
  <w:style w:type="character" w:customStyle="1" w:styleId="Underlined">
    <w:name w:val="Underlined"/>
    <w:basedOn w:val="DefaultParagraphFont"/>
    <w:rsid w:val="00AE4649"/>
    <w:rPr>
      <w:u w:val="single"/>
    </w:rPr>
  </w:style>
  <w:style w:type="paragraph" w:customStyle="1" w:styleId="TableBodyTextRight">
    <w:name w:val="Table Body Text Right"/>
    <w:basedOn w:val="TableBodyText"/>
    <w:rsid w:val="00AE4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649"/>
    <w:rPr>
      <w:sz w:val="18"/>
    </w:rPr>
  </w:style>
  <w:style w:type="paragraph" w:customStyle="1" w:styleId="BodySmallRight">
    <w:name w:val="Body Small Right"/>
    <w:basedOn w:val="BodyTextRight"/>
    <w:rsid w:val="00AE4649"/>
    <w:rPr>
      <w:sz w:val="18"/>
      <w:szCs w:val="18"/>
    </w:rPr>
  </w:style>
  <w:style w:type="paragraph" w:customStyle="1" w:styleId="MarginEdition">
    <w:name w:val="Margin Edition"/>
    <w:basedOn w:val="MarginNote"/>
    <w:rsid w:val="00AE4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649"/>
    <w:rPr>
      <w:sz w:val="2"/>
      <w:szCs w:val="2"/>
    </w:rPr>
  </w:style>
  <w:style w:type="character" w:customStyle="1" w:styleId="Small">
    <w:name w:val="Small"/>
    <w:basedOn w:val="DefaultParagraphFont"/>
    <w:rsid w:val="00AE4649"/>
    <w:rPr>
      <w:sz w:val="16"/>
    </w:rPr>
  </w:style>
  <w:style w:type="paragraph" w:customStyle="1" w:styleId="WideTable">
    <w:name w:val="Wide Table"/>
    <w:basedOn w:val="Normal"/>
    <w:rsid w:val="00AE4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649"/>
  </w:style>
  <w:style w:type="paragraph" w:styleId="Quote">
    <w:name w:val="Quote"/>
    <w:basedOn w:val="Heading1"/>
    <w:link w:val="QuoteChar"/>
    <w:qFormat/>
    <w:rsid w:val="00AE4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649"/>
    <w:pPr>
      <w:pageBreakBefore/>
    </w:pPr>
  </w:style>
  <w:style w:type="paragraph" w:customStyle="1" w:styleId="Border">
    <w:name w:val="Border"/>
    <w:basedOn w:val="Normal"/>
    <w:qFormat/>
    <w:rsid w:val="00AE4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649"/>
    <w:rPr>
      <w:u w:val="single"/>
    </w:rPr>
  </w:style>
  <w:style w:type="character" w:customStyle="1" w:styleId="BoldandItalics">
    <w:name w:val="Bold and Italics"/>
    <w:qFormat/>
    <w:rsid w:val="00AE4649"/>
    <w:rPr>
      <w:b/>
      <w:i/>
      <w:u w:val="none"/>
    </w:rPr>
  </w:style>
  <w:style w:type="paragraph" w:styleId="BalloonText">
    <w:name w:val="Balloon Text"/>
    <w:basedOn w:val="Normal"/>
    <w:link w:val="BalloonTextChar"/>
    <w:rsid w:val="00AE4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649"/>
    <w:pPr>
      <w:spacing w:before="0" w:after="0"/>
    </w:pPr>
  </w:style>
  <w:style w:type="paragraph" w:customStyle="1" w:styleId="BodyTextBold">
    <w:name w:val="Body Text Bold"/>
    <w:basedOn w:val="BodyText"/>
    <w:qFormat/>
    <w:rsid w:val="00AE4649"/>
    <w:rPr>
      <w:b/>
    </w:rPr>
  </w:style>
  <w:style w:type="character" w:styleId="Hyperlink">
    <w:name w:val="Hyperlink"/>
    <w:basedOn w:val="DefaultParagraphFont"/>
    <w:uiPriority w:val="99"/>
    <w:unhideWhenUsed/>
    <w:rsid w:val="000A6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3516</Characters>
  <Application>Microsoft Office Word</Application>
  <DocSecurity>0</DocSecurity>
  <Lines>146</Lines>
  <Paragraphs>68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AVIO0030 Conduct screening using explosive trace detection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