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92D" w:rsidP="00F5492D">
      <w:pPr>
        <w:pStyle w:val="Title"/>
      </w:pPr>
      <w:r>
        <w:fldChar w:fldCharType="begin"/>
      </w:r>
      <w:r>
        <w:instrText xml:space="preserve"> TITLE   \* MERGEFORMAT </w:instrText>
      </w:r>
      <w:r>
        <w:fldChar w:fldCharType="separate"/>
      </w:r>
      <w:r>
        <w:t>AVIO0030 Conduct screening using explosive trace detection equipment</w:t>
      </w:r>
      <w:r>
        <w:fldChar w:fldCharType="end"/>
      </w:r>
    </w:p>
    <w:p w:rsidR="00F5492D" w:rsidP="00F5492D">
      <w:pPr>
        <w:pStyle w:val="Version"/>
        <w:sectPr w:rsidSect="00A94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B0C" w:rsidP="00A94B0C">
      <w:pPr>
        <w:pStyle w:val="SuperHeading"/>
      </w:pPr>
      <w:r w:rsidRPr="00A94B0C">
        <w:t>AVIO0030 Conduct screening using explosive trace detection equipment</w:t>
      </w:r>
    </w:p>
    <w:p w:rsidR="00000000" w:rsidRPr="00A94B0C" w:rsidP="00A94B0C">
      <w:pPr>
        <w:pStyle w:val="Heading1"/>
      </w:pPr>
      <w:bookmarkStart w:id="1" w:name="O_1297233"/>
      <w:bookmarkEnd w:id="1"/>
      <w:r w:rsidRPr="00A94B0C">
        <w:t>Modification History</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Release 1. This is the first release of this unit of competency in the AVI Aviation Training Package.</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2" w:name="O_1297234"/>
      <w:bookmarkEnd w:id="2"/>
      <w:r w:rsidRPr="00A94B0C">
        <w:t>Application</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This unit involves the skills and knowledge required to conduct screening using explosive trace detection (ETD) in a transport security environment, in compliance with relevant regulatory requirements and workplace procedures.</w:t>
            </w:r>
          </w:p>
          <w:p w:rsidR="00000000" w:rsidRPr="00A94B0C" w:rsidP="00A94B0C">
            <w:pPr>
              <w:pStyle w:val="BodyText"/>
            </w:pPr>
            <w:r w:rsidRPr="00A94B0C">
              <w:t>It includes setting up, check</w:t>
            </w:r>
            <w:r w:rsidRPr="00A94B0C">
              <w:t>ing and operating ETD equipment; conducting ETD sampling processes and responding to results of sample; and recording ETD analysis information for evidential purposes.</w:t>
            </w:r>
          </w:p>
          <w:p w:rsidR="00000000" w:rsidRPr="00A94B0C" w:rsidP="00A94B0C">
            <w:pPr>
              <w:pStyle w:val="BodyText"/>
            </w:pPr>
            <w:r w:rsidRPr="00A94B0C">
              <w:t>This unit addresses transport security technical skill requirements (physical, mental an</w:t>
            </w:r>
            <w:r w:rsidRPr="00A94B0C">
              <w:t>d task-management abilities) related to transport security duties of aviation, maritime and air cargo security personnel, and contributes to safe and effective performance in operational transport security environments.</w:t>
            </w:r>
          </w:p>
          <w:p w:rsidR="00000000" w:rsidRPr="00A94B0C" w:rsidP="00A94B0C">
            <w:pPr>
              <w:pStyle w:val="BodyText"/>
            </w:pPr>
            <w:r w:rsidRPr="00A94B0C">
              <w:t>Operations are conducted across a va</w:t>
            </w:r>
            <w:r w:rsidRPr="00A94B0C">
              <w:t>riety of operational contexts within the Australian transport security environment.</w:t>
            </w:r>
          </w:p>
          <w:p w:rsidR="00000000" w:rsidRPr="00A94B0C" w:rsidP="00A94B0C">
            <w:pPr>
              <w:pStyle w:val="BodyText"/>
            </w:pPr>
            <w:r w:rsidRPr="00A94B0C">
              <w:t>Licensing, legislative, regulatory or certification requirements are applicable to this unit.</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3" w:name="O_1297235"/>
      <w:bookmarkEnd w:id="3"/>
      <w:r w:rsidRPr="00A94B0C">
        <w:t>Pre-requisite Unit</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Not applicable.</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4" w:name="O_1297236"/>
      <w:bookmarkEnd w:id="4"/>
      <w:r w:rsidRPr="00A94B0C">
        <w:t>C</w:t>
      </w:r>
      <w:r w:rsidRPr="00A94B0C">
        <w:t>ompetency Field</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O – Security</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5" w:name="O_1297237"/>
      <w:bookmarkEnd w:id="5"/>
      <w:r w:rsidRPr="00A94B0C">
        <w:t>Unit Sector</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Not applicable.</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6" w:name="O_1297238"/>
      <w:bookmarkEnd w:id="6"/>
      <w:r w:rsidRPr="00A94B0C">
        <w:t>Elements and Performance Criteria</w:t>
      </w:r>
    </w:p>
    <w:tbl>
      <w:tblPr>
        <w:tblW w:w="9497" w:type="dxa"/>
        <w:tblLayout w:type="fixed"/>
        <w:tblCellMar>
          <w:left w:w="62" w:type="dxa"/>
          <w:right w:w="62" w:type="dxa"/>
        </w:tblCellMar>
        <w:tblLook w:val="0000"/>
      </w:tblPr>
      <w:tblGrid>
        <w:gridCol w:w="406"/>
        <w:gridCol w:w="2729"/>
        <w:gridCol w:w="821"/>
        <w:gridCol w:w="5541"/>
      </w:tblGrid>
      <w:tr w:rsidTr="00A94B0C">
        <w:tblPrEx>
          <w:tblW w:w="9497" w:type="dxa"/>
          <w:tblLayout w:type="fixed"/>
          <w:tblCellMar>
            <w:left w:w="62" w:type="dxa"/>
            <w:right w:w="62" w:type="dxa"/>
          </w:tblCellMar>
          <w:tblLook w:val="0000"/>
        </w:tblPrEx>
        <w:tc>
          <w:tcPr>
            <w:tcW w:w="3135" w:type="dxa"/>
            <w:gridSpan w:val="2"/>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rPr>
                <w:rStyle w:val="SpecialBold"/>
              </w:rPr>
              <w:t>ELEMENTS</w:t>
            </w:r>
          </w:p>
        </w:tc>
        <w:tc>
          <w:tcPr>
            <w:tcW w:w="6362" w:type="dxa"/>
            <w:gridSpan w:val="2"/>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PERFORMANCE CRITERIA</w:t>
            </w:r>
          </w:p>
        </w:tc>
      </w:tr>
      <w:tr w:rsidTr="00A94B0C">
        <w:tblPrEx>
          <w:tblW w:w="9497" w:type="dxa"/>
          <w:tblLayout w:type="fixed"/>
          <w:tblCellMar>
            <w:left w:w="62" w:type="dxa"/>
            <w:right w:w="62" w:type="dxa"/>
          </w:tblCellMar>
          <w:tblLook w:val="0000"/>
        </w:tblPrEx>
        <w:tc>
          <w:tcPr>
            <w:tcW w:w="3135" w:type="dxa"/>
            <w:gridSpan w:val="2"/>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Elements describe the essential outcomes.</w:t>
            </w:r>
          </w:p>
        </w:tc>
        <w:tc>
          <w:tcPr>
            <w:tcW w:w="6362" w:type="dxa"/>
            <w:gridSpan w:val="2"/>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Performance criteria describe the performance needed to demonstrate achievement of the element.</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rPr>
                <w:rStyle w:val="SpecialBold"/>
              </w:rPr>
              <w:t xml:space="preserve">1 </w:t>
            </w:r>
          </w:p>
        </w:tc>
        <w:tc>
          <w:tcPr>
            <w:tcW w:w="2729"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rPr>
                <w:rStyle w:val="SpecialBold"/>
              </w:rPr>
              <w:t>Set up, check and operate ETD equipment</w:t>
            </w: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Correct procedures for setting up ETD equipment in a transport workplace are followed in accordance with legisl</w:t>
            </w:r>
            <w:r w:rsidRPr="00A94B0C">
              <w:t>ative requirements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9" w:type="dxa"/>
            <w:tcBorders>
              <w:top w:val="nil"/>
              <w:left w:val="nil"/>
              <w:bottom w:val="nil"/>
              <w:right w:val="nil"/>
            </w:tcBorders>
            <w:tcMar>
              <w:top w:w="0" w:type="dxa"/>
              <w:left w:w="62" w:type="dxa"/>
              <w:bottom w:w="0" w:type="dxa"/>
              <w:right w:w="62" w:type="dxa"/>
            </w:tcMar>
          </w:tcPr>
          <w:p w:rsidR="00000000" w:rsidRPr="00A94B0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ETD equipment checks are performed and appropriate action is taken in accordance with legislative requirements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9" w:type="dxa"/>
            <w:tcBorders>
              <w:top w:val="nil"/>
              <w:left w:val="nil"/>
              <w:bottom w:val="nil"/>
              <w:right w:val="nil"/>
            </w:tcBorders>
            <w:tcMar>
              <w:top w:w="0" w:type="dxa"/>
              <w:left w:w="62" w:type="dxa"/>
              <w:bottom w:w="0" w:type="dxa"/>
              <w:right w:w="62" w:type="dxa"/>
            </w:tcMar>
          </w:tcPr>
          <w:p w:rsidR="00000000" w:rsidRPr="00A94B0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ETD equipment calibration is perfo</w:t>
            </w:r>
            <w:r w:rsidRPr="00A94B0C">
              <w:t>rmed at set up and during operations in accordance with legislative requirements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9" w:type="dxa"/>
            <w:tcBorders>
              <w:top w:val="nil"/>
              <w:left w:val="nil"/>
              <w:bottom w:val="nil"/>
              <w:right w:val="nil"/>
            </w:tcBorders>
            <w:tcMar>
              <w:top w:w="0" w:type="dxa"/>
              <w:left w:w="62" w:type="dxa"/>
              <w:bottom w:w="0" w:type="dxa"/>
              <w:right w:w="62" w:type="dxa"/>
            </w:tcMar>
          </w:tcPr>
          <w:p w:rsidR="00000000" w:rsidRPr="00A94B0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ETD equipment is operated in accordance with legislative requirements, manufacturer instructions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9" w:type="dxa"/>
            <w:tcBorders>
              <w:top w:val="nil"/>
              <w:left w:val="nil"/>
              <w:bottom w:val="nil"/>
              <w:right w:val="nil"/>
            </w:tcBorders>
            <w:tcMar>
              <w:top w:w="0" w:type="dxa"/>
              <w:left w:w="62" w:type="dxa"/>
              <w:bottom w:w="0" w:type="dxa"/>
              <w:right w:w="62" w:type="dxa"/>
            </w:tcMar>
          </w:tcPr>
          <w:p w:rsidR="00000000" w:rsidRPr="00A94B0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Work health an</w:t>
            </w:r>
            <w:r w:rsidRPr="00A94B0C">
              <w:t>d safety (WHS)/occupational health and safety (OHS) procedures are followed when setting up and operating ETD equipment in accordance with legislative requirements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rPr>
                <w:rStyle w:val="SpecialBold"/>
              </w:rPr>
              <w:t>2</w:t>
            </w:r>
          </w:p>
        </w:tc>
        <w:tc>
          <w:tcPr>
            <w:tcW w:w="2729"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rPr>
                <w:rStyle w:val="SpecialBold"/>
              </w:rPr>
              <w:t>Conduct ETD sampling processes and respond to results</w:t>
            </w: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Person</w:t>
            </w:r>
            <w:r w:rsidRPr="00A94B0C">
              <w:t>s or articles are selected and screened using ETD equipment, in accordance with legislative requirements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9" w:type="dxa"/>
            <w:tcBorders>
              <w:top w:val="nil"/>
              <w:left w:val="nil"/>
              <w:bottom w:val="nil"/>
              <w:right w:val="nil"/>
            </w:tcBorders>
            <w:tcMar>
              <w:top w:w="0" w:type="dxa"/>
              <w:left w:w="62" w:type="dxa"/>
              <w:bottom w:w="0" w:type="dxa"/>
              <w:right w:w="62" w:type="dxa"/>
            </w:tcMar>
          </w:tcPr>
          <w:p w:rsidR="00000000" w:rsidRPr="00A94B0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Sample is tested using ETD equipment in accordance with legislative requirements, manufacturer instructions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9" w:type="dxa"/>
            <w:tcBorders>
              <w:top w:val="nil"/>
              <w:left w:val="nil"/>
              <w:bottom w:val="nil"/>
              <w:right w:val="nil"/>
            </w:tcBorders>
            <w:tcMar>
              <w:top w:w="0" w:type="dxa"/>
              <w:left w:w="62" w:type="dxa"/>
              <w:bottom w:w="0" w:type="dxa"/>
              <w:right w:w="62" w:type="dxa"/>
            </w:tcMar>
          </w:tcPr>
          <w:p w:rsidR="00000000" w:rsidRPr="00A94B0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Positive and negative results are recognised and appropriate action taken in accordance with legislative requirement</w:t>
            </w:r>
            <w:r w:rsidRPr="00A94B0C">
              <w:t>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rPr>
                <w:rStyle w:val="SpecialBold"/>
              </w:rPr>
              <w:t>3</w:t>
            </w:r>
          </w:p>
        </w:tc>
        <w:tc>
          <w:tcPr>
            <w:tcW w:w="2729"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rPr>
                <w:rStyle w:val="SpecialBold"/>
              </w:rPr>
              <w:t>Record ETD analysis information for evidential purposes</w:t>
            </w: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Equipment checks and calibration results are recorded and reported in accordance with legislative requirements and workplace procedures</w:t>
            </w:r>
          </w:p>
        </w:tc>
      </w:tr>
      <w:tr w:rsidTr="00A94B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9" w:type="dxa"/>
            <w:tcBorders>
              <w:top w:val="nil"/>
              <w:left w:val="nil"/>
              <w:bottom w:val="nil"/>
              <w:right w:val="nil"/>
            </w:tcBorders>
            <w:tcMar>
              <w:top w:w="0" w:type="dxa"/>
              <w:left w:w="62" w:type="dxa"/>
              <w:bottom w:w="0" w:type="dxa"/>
              <w:right w:w="62" w:type="dxa"/>
            </w:tcMar>
          </w:tcPr>
          <w:p w:rsidR="00000000" w:rsidRPr="00A94B0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Records of sampling processes, positive and negative results and consequent actions are completed in accordance with legislative requirements and workplace procedures</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7" w:name="O_1297239"/>
      <w:bookmarkEnd w:id="7"/>
      <w:r w:rsidRPr="00A94B0C">
        <w:t>Foundation Skills</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Foundation skills essential to performance are exp</w:t>
            </w:r>
            <w:r w:rsidRPr="00A94B0C">
              <w:t xml:space="preserve">licit in the performance criteria of this unit of </w:t>
            </w:r>
            <w:r w:rsidRPr="00A94B0C">
              <w:t>competency.</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8" w:name="O_1297240"/>
      <w:bookmarkEnd w:id="8"/>
      <w:r w:rsidRPr="00A94B0C">
        <w:t>Range of Conditions</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Range is restricted to essential operating conditions and any other variables essential to the work environment.</w:t>
            </w:r>
          </w:p>
          <w:p w:rsidR="00000000" w:rsidRPr="00A94B0C" w:rsidP="00A94B0C">
            <w:pPr>
              <w:pStyle w:val="BodyText"/>
            </w:pPr>
            <w:r w:rsidRPr="00A94B0C">
              <w:t>Non-essential conditions may be found in the Companion Volume Implementation Guide.</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9" w:name="O_1297241"/>
      <w:bookmarkEnd w:id="9"/>
      <w:r w:rsidRPr="00A94B0C">
        <w:t>Unit Mapping Information</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This unit replaces and is equivalent to AVIO0005 Conduct screening using explosive trace detection.</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10" w:name="O_1297248"/>
      <w:bookmarkEnd w:id="10"/>
      <w:r w:rsidRPr="00A94B0C">
        <w:t>Links</w:t>
      </w:r>
    </w:p>
    <w:p w:rsidR="00000000" w:rsidRPr="00A94B0C" w:rsidP="00F5492D">
      <w:pPr>
        <w:pStyle w:val="BodyText"/>
      </w:pPr>
      <w:r w:rsidRPr="00A94B0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F0858">
        <w:rPr>
          <w:rStyle w:val="Hyperlink"/>
        </w:rPr>
        <w:t>https://vetnet.gov.au/Pages/TrainingDocs.aspx?q=4725260a-0af3-4daf-912b-ef1c2f3e5816</w:t>
      </w:r>
      <w:r>
        <w:fldChar w:fldCharType="end"/>
      </w:r>
    </w:p>
    <w:p w:rsidR="00000000" w:rsidRPr="00A94B0C" w:rsidP="00F5492D">
      <w:pPr>
        <w:pStyle w:val="BodyText"/>
        <w:sectPr w:rsidSect="00A94B0C">
          <w:headerReference w:type="default" r:id="rId10"/>
          <w:footerReference w:type="default" r:id="rId11"/>
          <w:pgSz w:w="11908" w:h="16833"/>
          <w:pgMar w:top="1702" w:right="1418" w:bottom="1702" w:left="1418" w:header="992" w:footer="992" w:gutter="0"/>
          <w:cols w:space="720"/>
          <w:noEndnote/>
          <w:docGrid w:linePitch="299"/>
        </w:sectPr>
      </w:pPr>
    </w:p>
    <w:p w:rsidR="00000000" w:rsidRPr="00A94B0C" w:rsidP="00A94B0C">
      <w:pPr>
        <w:pStyle w:val="SuperHeading"/>
      </w:pPr>
      <w:r w:rsidRPr="00A94B0C">
        <w:t xml:space="preserve">Assessment Requirements for AVIO0030 Conduct screening using </w:t>
      </w:r>
      <w:r w:rsidRPr="00A94B0C">
        <w:t>explosive trace detection equipment</w:t>
      </w:r>
    </w:p>
    <w:p w:rsidR="00000000" w:rsidRPr="00A94B0C" w:rsidP="00A94B0C">
      <w:pPr>
        <w:pStyle w:val="Heading1"/>
      </w:pPr>
      <w:bookmarkStart w:id="11" w:name="O_1297243"/>
      <w:bookmarkEnd w:id="11"/>
      <w:r w:rsidRPr="00A94B0C">
        <w:t>Modification History</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Release 1. This is the first release of this unit of competency in the AVI Aviation Training Package.</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12" w:name="O_1297244"/>
      <w:bookmarkEnd w:id="12"/>
      <w:r w:rsidRPr="00A94B0C">
        <w:t>Performance Evidence</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Evidence required to demonstrate competence in this unit must be relevant to and satisfy all of the requirements of the elements, performance criteria and range of conditions on at least one occasion and include:</w:t>
            </w:r>
          </w:p>
        </w:tc>
      </w:tr>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ListBullet"/>
            </w:pPr>
            <w:r w:rsidRPr="00A94B0C">
              <w:t xml:space="preserve">clarifying and applying, legislation and </w:t>
            </w:r>
            <w:r w:rsidRPr="00A94B0C">
              <w:t>workplace procedures relevant to using ETD equipment</w:t>
            </w:r>
          </w:p>
          <w:p w:rsidR="00000000" w:rsidRPr="00A94B0C" w:rsidP="00A94B0C">
            <w:pPr>
              <w:pStyle w:val="ListBullet"/>
            </w:pPr>
            <w:r w:rsidRPr="00A94B0C">
              <w:t>communicating effectively with others using a range of means including verbal, non-verbal, written and digital</w:t>
            </w:r>
          </w:p>
          <w:p w:rsidR="00000000" w:rsidRPr="00A94B0C" w:rsidP="00A94B0C">
            <w:pPr>
              <w:pStyle w:val="ListBullet"/>
            </w:pPr>
            <w:r w:rsidRPr="00A94B0C">
              <w:t>completing relevant documentation</w:t>
            </w:r>
          </w:p>
          <w:p w:rsidR="00000000" w:rsidRPr="00A94B0C" w:rsidP="00A94B0C">
            <w:pPr>
              <w:pStyle w:val="ListBullet"/>
            </w:pPr>
            <w:r w:rsidRPr="00A94B0C">
              <w:t>identifying, selecting, using and routinely checking ETD e</w:t>
            </w:r>
            <w:r w:rsidRPr="00A94B0C">
              <w:t>quipment, processes and procedures</w:t>
            </w:r>
          </w:p>
          <w:p w:rsidR="00000000" w:rsidRPr="00A94B0C" w:rsidP="00A94B0C">
            <w:pPr>
              <w:pStyle w:val="ListBullet"/>
            </w:pPr>
            <w:r w:rsidRPr="00A94B0C">
              <w:t>modifying activities in response to workplace contingencies, risk situations and environments</w:t>
            </w:r>
          </w:p>
          <w:p w:rsidR="00000000" w:rsidRPr="00A94B0C" w:rsidP="00A94B0C">
            <w:pPr>
              <w:pStyle w:val="ListBullet"/>
            </w:pPr>
            <w:r w:rsidRPr="00A94B0C">
              <w:t>preparing persons or articles for ETD sampling</w:t>
            </w:r>
          </w:p>
          <w:p w:rsidR="00000000" w:rsidRPr="00A94B0C" w:rsidP="00A94B0C">
            <w:pPr>
              <w:pStyle w:val="ListBullet"/>
            </w:pPr>
            <w:r w:rsidRPr="00A94B0C">
              <w:t>taking appropriate action in response to security incidents identified using ETD equipment</w:t>
            </w:r>
          </w:p>
          <w:p w:rsidR="00000000" w:rsidRPr="00A94B0C" w:rsidP="00A94B0C">
            <w:pPr>
              <w:pStyle w:val="ListBullet"/>
            </w:pPr>
            <w:r w:rsidRPr="00A94B0C">
              <w:t>working collaboratively with others when using ETD equipment.</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13" w:name="O_1297245"/>
      <w:bookmarkEnd w:id="13"/>
      <w:r w:rsidRPr="00A94B0C">
        <w:t>Knowledge Evidence</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4B0C">
            <w:pPr>
              <w:pStyle w:val="BodyText"/>
              <w:rPr>
                <w:lang w:val="en-NZ"/>
              </w:rPr>
            </w:pPr>
            <w:r w:rsidRPr="00A94B0C">
              <w:t>Evidence required to demonstrate competence in this unit must b</w:t>
            </w:r>
            <w:r w:rsidRPr="00A94B0C">
              <w:t>e relevant to and satisfy all of the requirements of the elements, performance criteria and range of conditions and include knowledge of:</w:t>
            </w:r>
          </w:p>
        </w:tc>
      </w:tr>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ListBullet"/>
            </w:pPr>
            <w:r w:rsidRPr="00A94B0C">
              <w:t>contingency procedures for positive results when carrying out screening using ETD equipment</w:t>
            </w:r>
          </w:p>
          <w:p w:rsidR="00000000" w:rsidRPr="00A94B0C" w:rsidP="00A94B0C">
            <w:pPr>
              <w:pStyle w:val="ListBullet"/>
            </w:pPr>
            <w:r w:rsidRPr="00A94B0C">
              <w:t>ETD equipment, alarms an</w:t>
            </w:r>
            <w:r w:rsidRPr="00A94B0C">
              <w:t>d systems</w:t>
            </w:r>
          </w:p>
          <w:p w:rsidR="00000000" w:rsidRPr="00A94B0C" w:rsidP="00A94B0C">
            <w:pPr>
              <w:pStyle w:val="ListBullet"/>
            </w:pPr>
            <w:r w:rsidRPr="00A94B0C">
              <w:t>legislative requirements and workplace procedures for carrying out checks and calibrations of ETD equipment</w:t>
            </w:r>
          </w:p>
          <w:p w:rsidR="00000000" w:rsidRPr="00A94B0C" w:rsidP="00A94B0C">
            <w:pPr>
              <w:pStyle w:val="ListBullet"/>
            </w:pPr>
            <w:r w:rsidRPr="00A94B0C">
              <w:t>methods, techniques and equipment involved when using ETD equipment to screen passengers and/or articles in a transport security environme</w:t>
            </w:r>
            <w:r w:rsidRPr="00A94B0C">
              <w:t>nt in accordance with relevant legislation and workplace procedures</w:t>
            </w:r>
          </w:p>
          <w:p w:rsidR="00000000" w:rsidRPr="00A94B0C" w:rsidP="00A94B0C">
            <w:pPr>
              <w:pStyle w:val="ListBullet"/>
            </w:pPr>
            <w:r w:rsidRPr="00A94B0C">
              <w:t>prohibited items and weapons as outlined in legislation</w:t>
            </w:r>
          </w:p>
          <w:p w:rsidR="00000000" w:rsidRPr="00A94B0C" w:rsidP="00A94B0C">
            <w:pPr>
              <w:pStyle w:val="ListBullet"/>
            </w:pPr>
            <w:r w:rsidRPr="00A94B0C">
              <w:t>reporting requirements for security incidents relevant to ETD alarms generated by ETD equipment</w:t>
            </w:r>
          </w:p>
          <w:p w:rsidR="00000000" w:rsidRPr="00A94B0C" w:rsidP="00A94B0C">
            <w:pPr>
              <w:pStyle w:val="ListBullet"/>
            </w:pPr>
            <w:r w:rsidRPr="00A94B0C">
              <w:t>roles and responsibilities of law enforcement officers and/or other government officers within a transport security workplace</w:t>
            </w:r>
          </w:p>
          <w:p w:rsidR="00000000" w:rsidRPr="00A94B0C" w:rsidP="00A94B0C">
            <w:pPr>
              <w:pStyle w:val="ListBullet"/>
            </w:pPr>
            <w:r w:rsidRPr="00A94B0C">
              <w:t>transport security restricted areas.</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14" w:name="O_1297246"/>
      <w:bookmarkEnd w:id="14"/>
      <w:r w:rsidRPr="00A94B0C">
        <w:t>Assessment Conditions</w:t>
      </w:r>
    </w:p>
    <w:tbl>
      <w:tblPr>
        <w:tblW w:w="9497" w:type="dxa"/>
        <w:tblLayout w:type="fixed"/>
        <w:tblCellMar>
          <w:left w:w="62" w:type="dxa"/>
          <w:right w:w="62" w:type="dxa"/>
        </w:tblCellMar>
        <w:tblLook w:val="0000"/>
      </w:tblPr>
      <w:tblGrid>
        <w:gridCol w:w="9497"/>
      </w:tblGrid>
      <w:tr w:rsidTr="00A94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B0C" w:rsidP="00A94B0C">
            <w:pPr>
              <w:pStyle w:val="BodyText"/>
            </w:pPr>
            <w:r w:rsidRPr="00A94B0C">
              <w:t>Assessors must hold credentials specified within t</w:t>
            </w:r>
            <w:r w:rsidRPr="00A94B0C">
              <w:t>he Standards for Registered Training Organisations current at the time of assessment.</w:t>
            </w:r>
          </w:p>
          <w:p w:rsidR="00000000" w:rsidRPr="00A94B0C" w:rsidP="00A94B0C">
            <w:pPr>
              <w:pStyle w:val="BodyText"/>
            </w:pPr>
            <w:r w:rsidRPr="00A94B0C">
              <w:t>Assessment must satisfy the Principles of Assessment and Rules of Evidence and all regulatory requirements included within the Standards for Registered Training Organisat</w:t>
            </w:r>
            <w:r w:rsidRPr="00A94B0C">
              <w:t>ions current at the time of assessment.</w:t>
            </w:r>
          </w:p>
          <w:p w:rsidR="00000000" w:rsidRPr="00A94B0C" w:rsidP="00A94B0C">
            <w:pPr>
              <w:pStyle w:val="BodyText"/>
            </w:pPr>
            <w:r w:rsidRPr="00A94B0C">
              <w:t xml:space="preserve">Assessment must occur in workplace operational situations where it is appropriate to do so; where this is not appropriate, assessment must occur in simulated workplace operational situations that replicate workplace </w:t>
            </w:r>
            <w:r w:rsidRPr="00A94B0C">
              <w:t xml:space="preserve">conditions. </w:t>
            </w:r>
          </w:p>
          <w:p w:rsidR="00000000" w:rsidRPr="00A94B0C" w:rsidP="00A94B0C">
            <w:pPr>
              <w:pStyle w:val="BodyText"/>
            </w:pPr>
            <w:r w:rsidRPr="00A94B0C">
              <w:t>Assessment processes and techniques must be appropriate to the language, literacy and numeracy requirements of the work being performed and the needs of the candidate.</w:t>
            </w:r>
          </w:p>
          <w:p w:rsidR="00000000" w:rsidRPr="00A94B0C" w:rsidP="00A94B0C">
            <w:pPr>
              <w:pStyle w:val="BodyText"/>
            </w:pPr>
            <w:r w:rsidRPr="00A94B0C">
              <w:t>Resources for assessment must include access to:</w:t>
            </w:r>
          </w:p>
          <w:p w:rsidR="00000000" w:rsidRPr="00A94B0C" w:rsidP="00A94B0C">
            <w:pPr>
              <w:pStyle w:val="ListBullet"/>
            </w:pPr>
            <w:r w:rsidRPr="00A94B0C">
              <w:t>a range of relevan</w:t>
            </w:r>
            <w:r w:rsidRPr="00A94B0C">
              <w:t>t exercises, case studies and/or simulations</w:t>
            </w:r>
          </w:p>
          <w:p w:rsidR="00000000" w:rsidRPr="00A94B0C" w:rsidP="00A94B0C">
            <w:pPr>
              <w:pStyle w:val="ListBullet"/>
            </w:pPr>
            <w:r w:rsidRPr="00A94B0C">
              <w:t>applicable documentation, including workplace procedures, regulations, codes of practice and operation manuals</w:t>
            </w:r>
          </w:p>
          <w:p w:rsidR="00000000" w:rsidRPr="00A94B0C" w:rsidP="00A94B0C">
            <w:pPr>
              <w:pStyle w:val="ListBullet"/>
            </w:pPr>
            <w:r w:rsidRPr="00A94B0C">
              <w:t>relevant materials, tools, equipment and PPE currently used in industry.</w:t>
            </w:r>
          </w:p>
        </w:tc>
      </w:tr>
    </w:tbl>
    <w:p w:rsidR="00000000" w:rsidRPr="00A94B0C" w:rsidP="00A94B0C">
      <w:pPr>
        <w:pStyle w:val="NoPaddingFontSize1"/>
      </w:pPr>
    </w:p>
    <w:p w:rsidR="00000000" w:rsidRPr="00A94B0C" w:rsidP="00A94B0C">
      <w:pPr>
        <w:pStyle w:val="AllowPageBreak"/>
      </w:pPr>
    </w:p>
    <w:p w:rsidR="00000000" w:rsidRPr="00A94B0C" w:rsidP="00A94B0C">
      <w:pPr>
        <w:pStyle w:val="Heading1"/>
      </w:pPr>
      <w:bookmarkStart w:id="15" w:name="O_1297249"/>
      <w:bookmarkEnd w:id="15"/>
      <w:r w:rsidRPr="00A94B0C">
        <w:t>Links</w:t>
      </w:r>
    </w:p>
    <w:p w:rsidR="00000000" w:rsidRPr="00A94B0C" w:rsidP="00F5492D">
      <w:pPr>
        <w:pStyle w:val="BodyText"/>
      </w:pPr>
      <w:r w:rsidRPr="00A94B0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F0858">
        <w:rPr>
          <w:rStyle w:val="Hyperlink"/>
        </w:rPr>
        <w:t>https://vetnet.gov.au/Pages/TrainingDocs.aspx?q=4725260a-0af3-4daf-912b-ef1c2f3e5816</w:t>
      </w:r>
      <w:r>
        <w:fldChar w:fldCharType="end"/>
      </w:r>
    </w:p>
    <w:p w:rsidR="00000000" w:rsidRPr="00A94B0C" w:rsidP="00A94B0C"/>
    <w:sectPr w:rsidSect="00A94B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0C" w:rsidRPr="00F5492D" w:rsidP="00F54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2D" w:rsidP="00A94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492D" w:rsidP="00A94B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5492D" w:rsidP="00A94B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0C" w:rsidP="00A94B0C">
    <w:pPr>
      <w:pStyle w:val="Footer"/>
      <w:framePr w:wrap="around"/>
    </w:pPr>
    <w:r>
      <w:fldChar w:fldCharType="begin"/>
    </w:r>
    <w:r>
      <w:instrText xml:space="preserve"> DOCPROPERTY  Subject  \* MERGEFORMAT </w:instrText>
    </w:r>
    <w:r>
      <w:fldChar w:fldCharType="separate"/>
    </w:r>
    <w:r w:rsidR="00F5492D">
      <w:t>Approved</w:t>
    </w:r>
    <w:r w:rsidR="00F5492D">
      <w:fldChar w:fldCharType="end"/>
    </w:r>
    <w:r>
      <w:tab/>
      <w:t xml:space="preserve">Page </w:t>
    </w:r>
    <w:r>
      <w:fldChar w:fldCharType="begin"/>
    </w:r>
    <w:r>
      <w:instrText xml:space="preserve"> PAGE  \* Arabic  \* MERGEFORMAT </w:instrText>
    </w:r>
    <w:r>
      <w:fldChar w:fldCharType="separate"/>
    </w:r>
    <w:r w:rsidR="00F549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92D">
      <w:rPr>
        <w:noProof/>
      </w:rPr>
      <w:t>4</w:t>
    </w:r>
    <w:r>
      <w:rPr>
        <w:noProof/>
      </w:rPr>
      <w:fldChar w:fldCharType="end"/>
    </w:r>
  </w:p>
  <w:p w:rsidR="00A94B0C" w:rsidP="00A94B0C">
    <w:pPr>
      <w:pStyle w:val="Footer"/>
      <w:framePr w:wrap="around"/>
    </w:pPr>
    <w:r>
      <w:t xml:space="preserve">© Commonwealth of Australia, </w:t>
    </w:r>
    <w:r>
      <w:fldChar w:fldCharType="begin"/>
    </w:r>
    <w:r>
      <w:instrText xml:space="preserve"> DATE  \@ "yyyy"  \* MERGEFORMAT </w:instrText>
    </w:r>
    <w:r>
      <w:fldChar w:fldCharType="separate"/>
    </w:r>
    <w:r w:rsidR="00F5492D">
      <w:rPr>
        <w:noProof/>
      </w:rPr>
      <w:t>2025</w:t>
    </w:r>
    <w:r>
      <w:fldChar w:fldCharType="end"/>
    </w:r>
    <w:r>
      <w:tab/>
    </w:r>
    <w:r>
      <w:fldChar w:fldCharType="begin"/>
    </w:r>
    <w:r>
      <w:instrText xml:space="preserve"> DOCPROPERTY  Author  \* MERGEFORMAT </w:instrText>
    </w:r>
    <w:r>
      <w:fldChar w:fldCharType="separate"/>
    </w:r>
    <w:r w:rsidR="00F5492D">
      <w:t>Industry Skills Australia</w:t>
    </w:r>
    <w:r w:rsidR="00F5492D">
      <w:fldChar w:fldCharType="end"/>
    </w:r>
  </w:p>
  <w:p w:rsidR="00A94B0C" w:rsidP="00A94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B0C" w:rsidRPr="00F5492D" w:rsidP="00F549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2D" w:rsidRPr="002D2AF8" w:rsidP="00A94B0C">
    <w:pPr>
      <w:pStyle w:val="Header"/>
      <w:framePr w:wrap="around"/>
    </w:pPr>
    <w:r>
      <w:fldChar w:fldCharType="begin"/>
    </w:r>
    <w:r>
      <w:instrText xml:space="preserve"> TITLE   \* MERGEFORMAT </w:instrText>
    </w:r>
    <w:r>
      <w:fldChar w:fldCharType="separate"/>
    </w:r>
    <w:r>
      <w:t>AVIO0030 Conduct screening using explosive trace detection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F5492D" w:rsidP="00A94B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0C" w:rsidRPr="002D2AF8" w:rsidP="00A94B0C">
    <w:pPr>
      <w:pStyle w:val="Header"/>
      <w:framePr w:wrap="around"/>
    </w:pPr>
    <w:r>
      <w:fldChar w:fldCharType="begin"/>
    </w:r>
    <w:r>
      <w:instrText xml:space="preserve"> TITLE   \* MERGEFORMAT </w:instrText>
    </w:r>
    <w:r>
      <w:fldChar w:fldCharType="separate"/>
    </w:r>
    <w:r w:rsidR="00F5492D">
      <w:t>AVIO0030 Conduct screening using explosive trace detection equipment</w:t>
    </w:r>
    <w:r w:rsidR="00F5492D">
      <w:fldChar w:fldCharType="end"/>
    </w:r>
    <w:r>
      <w:tab/>
      <w:t xml:space="preserve">Date this document was generated: </w:t>
    </w:r>
    <w:r>
      <w:fldChar w:fldCharType="begin"/>
    </w:r>
    <w:r>
      <w:instrText xml:space="preserve"> CREATEDATE  \@ "d MMMM yyyy"  \* MERGEFORMAT </w:instrText>
    </w:r>
    <w:r>
      <w:fldChar w:fldCharType="separate"/>
    </w:r>
    <w:r w:rsidR="00F5492D">
      <w:rPr>
        <w:noProof/>
      </w:rPr>
      <w:t>28 May 2025</w:t>
    </w:r>
    <w:r>
      <w:fldChar w:fldCharType="end"/>
    </w:r>
  </w:p>
  <w:p w:rsidR="00A94B0C" w:rsidP="00A94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EA1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6C5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B0C"/>
    <w:pPr>
      <w:spacing w:before="360" w:after="60"/>
      <w:outlineLvl w:val="0"/>
    </w:pPr>
    <w:rPr>
      <w:sz w:val="32"/>
    </w:rPr>
  </w:style>
  <w:style w:type="paragraph" w:styleId="Heading2">
    <w:name w:val="heading 2"/>
    <w:basedOn w:val="HeadingBase"/>
    <w:next w:val="BodyText"/>
    <w:link w:val="Heading2Char"/>
    <w:qFormat/>
    <w:rsid w:val="00A94B0C"/>
    <w:pPr>
      <w:keepLines/>
      <w:spacing w:before="240" w:after="120"/>
      <w:outlineLvl w:val="1"/>
    </w:pPr>
    <w:rPr>
      <w:sz w:val="28"/>
      <w:szCs w:val="40"/>
    </w:rPr>
  </w:style>
  <w:style w:type="paragraph" w:styleId="Heading3">
    <w:name w:val="heading 3"/>
    <w:basedOn w:val="HeadingBase"/>
    <w:next w:val="BodyText"/>
    <w:link w:val="Heading3Char"/>
    <w:qFormat/>
    <w:rsid w:val="00A94B0C"/>
    <w:pPr>
      <w:spacing w:before="180" w:after="120"/>
      <w:outlineLvl w:val="2"/>
    </w:pPr>
    <w:rPr>
      <w:spacing w:val="-10"/>
      <w:kern w:val="32"/>
    </w:rPr>
  </w:style>
  <w:style w:type="paragraph" w:styleId="Heading4">
    <w:name w:val="heading 4"/>
    <w:basedOn w:val="HeadingBase"/>
    <w:next w:val="BodyText"/>
    <w:link w:val="Heading4Char"/>
    <w:qFormat/>
    <w:rsid w:val="00A94B0C"/>
    <w:pPr>
      <w:spacing w:before="160" w:after="120"/>
      <w:outlineLvl w:val="3"/>
    </w:pPr>
    <w:rPr>
      <w:sz w:val="22"/>
    </w:rPr>
  </w:style>
  <w:style w:type="paragraph" w:styleId="Heading5">
    <w:name w:val="heading 5"/>
    <w:basedOn w:val="HeadingBase"/>
    <w:next w:val="Normal"/>
    <w:link w:val="Heading5Char"/>
    <w:qFormat/>
    <w:rsid w:val="00A94B0C"/>
    <w:pPr>
      <w:spacing w:before="80"/>
      <w:outlineLvl w:val="4"/>
    </w:pPr>
    <w:rPr>
      <w:color w:val="918585"/>
      <w:sz w:val="20"/>
    </w:rPr>
  </w:style>
  <w:style w:type="paragraph" w:styleId="Heading6">
    <w:name w:val="heading 6"/>
    <w:basedOn w:val="HeadingBase"/>
    <w:next w:val="Normal"/>
    <w:link w:val="Heading6Char"/>
    <w:qFormat/>
    <w:rsid w:val="00A94B0C"/>
    <w:pPr>
      <w:spacing w:before="60"/>
      <w:outlineLvl w:val="5"/>
    </w:pPr>
    <w:rPr>
      <w:color w:val="918585"/>
      <w:sz w:val="20"/>
    </w:rPr>
  </w:style>
  <w:style w:type="paragraph" w:styleId="Heading7">
    <w:name w:val="heading 7"/>
    <w:basedOn w:val="Normal"/>
    <w:next w:val="Normal"/>
    <w:link w:val="Heading7Char"/>
    <w:qFormat/>
    <w:rsid w:val="00A94B0C"/>
    <w:pPr>
      <w:ind w:left="720"/>
      <w:outlineLvl w:val="6"/>
    </w:pPr>
    <w:rPr>
      <w:i/>
    </w:rPr>
  </w:style>
  <w:style w:type="paragraph" w:styleId="Heading8">
    <w:name w:val="heading 8"/>
    <w:basedOn w:val="Normal"/>
    <w:next w:val="Normal"/>
    <w:link w:val="Heading8Char"/>
    <w:qFormat/>
    <w:rsid w:val="00A94B0C"/>
    <w:pPr>
      <w:ind w:left="720"/>
      <w:outlineLvl w:val="7"/>
    </w:pPr>
    <w:rPr>
      <w:i/>
    </w:rPr>
  </w:style>
  <w:style w:type="paragraph" w:styleId="Heading9">
    <w:name w:val="heading 9"/>
    <w:basedOn w:val="Normal"/>
    <w:next w:val="Normal"/>
    <w:link w:val="Heading9Char"/>
    <w:qFormat/>
    <w:rsid w:val="00A94B0C"/>
    <w:pPr>
      <w:ind w:left="720"/>
      <w:outlineLvl w:val="8"/>
    </w:pPr>
    <w:rPr>
      <w:i/>
    </w:rPr>
  </w:style>
  <w:style w:type="character" w:default="1" w:styleId="DefaultParagraphFont">
    <w:name w:val="Default Paragraph Font"/>
    <w:uiPriority w:val="1"/>
    <w:unhideWhenUsed/>
    <w:rsid w:val="00A94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B0C"/>
  </w:style>
  <w:style w:type="character" w:customStyle="1" w:styleId="Heading1Char">
    <w:name w:val="Heading 1 Char"/>
    <w:basedOn w:val="DefaultParagraphFont"/>
    <w:link w:val="Heading1"/>
    <w:rsid w:val="00A94B0C"/>
    <w:rPr>
      <w:rFonts w:ascii="Times New Roman" w:eastAsia="Times New Roman" w:hAnsi="Times New Roman" w:cs="Times New Roman"/>
      <w:b/>
      <w:sz w:val="32"/>
      <w:szCs w:val="20"/>
      <w:lang w:eastAsia="en-US"/>
    </w:rPr>
  </w:style>
  <w:style w:type="paragraph" w:styleId="BodyText">
    <w:name w:val="Body Text"/>
    <w:basedOn w:val="Normal"/>
    <w:link w:val="BodyTextChar"/>
    <w:rsid w:val="00A94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B0C"/>
    <w:rPr>
      <w:rFonts w:ascii="Times New Roman" w:eastAsia="Times New Roman" w:hAnsi="Times New Roman" w:cs="Times New Roman"/>
      <w:sz w:val="24"/>
      <w:lang w:eastAsia="en-US"/>
    </w:rPr>
  </w:style>
  <w:style w:type="paragraph" w:styleId="ListBullet">
    <w:name w:val="List Bullet"/>
    <w:basedOn w:val="List"/>
    <w:rsid w:val="00A94B0C"/>
    <w:pPr>
      <w:numPr>
        <w:numId w:val="11"/>
      </w:numPr>
      <w:tabs>
        <w:tab w:val="clear" w:pos="340"/>
      </w:tabs>
      <w:spacing w:before="40" w:after="40"/>
    </w:pPr>
  </w:style>
  <w:style w:type="character" w:customStyle="1" w:styleId="SpecialBold">
    <w:name w:val="Special Bold"/>
    <w:basedOn w:val="DefaultParagraphFont"/>
    <w:rsid w:val="00A94B0C"/>
    <w:rPr>
      <w:b/>
      <w:spacing w:val="0"/>
    </w:rPr>
  </w:style>
  <w:style w:type="paragraph" w:customStyle="1" w:styleId="SuperHeading">
    <w:name w:val="SuperHeading"/>
    <w:basedOn w:val="Normal"/>
    <w:rsid w:val="00A94B0C"/>
    <w:pPr>
      <w:spacing w:before="240" w:after="120"/>
      <w:outlineLvl w:val="0"/>
    </w:pPr>
    <w:rPr>
      <w:rFonts w:ascii="Times New Roman" w:hAnsi="Times New Roman"/>
      <w:b/>
      <w:sz w:val="32"/>
    </w:rPr>
  </w:style>
  <w:style w:type="paragraph" w:customStyle="1" w:styleId="AllowPageBreak">
    <w:name w:val="AllowPageBreak"/>
    <w:rsid w:val="00A94B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4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B0C"/>
    <w:rPr>
      <w:rFonts w:ascii="Courier New" w:eastAsia="Times New Roman" w:hAnsi="Courier New" w:cs="Times New Roman"/>
      <w:i/>
      <w:szCs w:val="20"/>
      <w:lang w:eastAsia="en-US"/>
    </w:rPr>
  </w:style>
  <w:style w:type="paragraph" w:customStyle="1" w:styleId="HeadingBase">
    <w:name w:val="Heading Base"/>
    <w:rsid w:val="00A94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B0C"/>
    <w:pPr>
      <w:tabs>
        <w:tab w:val="right" w:leader="dot" w:pos="9072"/>
      </w:tabs>
      <w:ind w:left="567"/>
    </w:pPr>
    <w:rPr>
      <w:szCs w:val="22"/>
    </w:rPr>
  </w:style>
  <w:style w:type="paragraph" w:customStyle="1" w:styleId="TOCBase">
    <w:name w:val="TOC Base"/>
    <w:rsid w:val="00A94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B0C"/>
    <w:pPr>
      <w:tabs>
        <w:tab w:val="right" w:leader="dot" w:pos="9072"/>
      </w:tabs>
      <w:spacing w:before="40" w:after="40"/>
      <w:ind w:left="284"/>
    </w:pPr>
    <w:rPr>
      <w:rFonts w:ascii="Times New Roman" w:hAnsi="Times New Roman"/>
    </w:rPr>
  </w:style>
  <w:style w:type="paragraph" w:styleId="TOC1">
    <w:name w:val="toc 1"/>
    <w:basedOn w:val="TOCBase"/>
    <w:next w:val="Normal"/>
    <w:rsid w:val="00A94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B0C"/>
    <w:rPr>
      <w:rFonts w:ascii="Times New Roman" w:eastAsia="Times New Roman" w:hAnsi="Times New Roman" w:cs="Times New Roman"/>
      <w:sz w:val="16"/>
      <w:lang w:eastAsia="en-US"/>
    </w:rPr>
  </w:style>
  <w:style w:type="paragraph" w:styleId="Title">
    <w:name w:val="Title"/>
    <w:basedOn w:val="HeadingBase"/>
    <w:link w:val="TitleChar"/>
    <w:qFormat/>
    <w:rsid w:val="00A94B0C"/>
    <w:pPr>
      <w:spacing w:before="5040"/>
      <w:jc w:val="center"/>
    </w:pPr>
    <w:rPr>
      <w:sz w:val="48"/>
      <w:szCs w:val="72"/>
      <w:lang w:val="en-US"/>
    </w:rPr>
  </w:style>
  <w:style w:type="character" w:customStyle="1" w:styleId="TitleChar">
    <w:name w:val="Title Char"/>
    <w:basedOn w:val="DefaultParagraphFont"/>
    <w:link w:val="Title"/>
    <w:rsid w:val="00A94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B0C"/>
    <w:pPr>
      <w:tabs>
        <w:tab w:val="left" w:pos="3600"/>
        <w:tab w:val="left" w:pos="3958"/>
      </w:tabs>
    </w:pPr>
  </w:style>
  <w:style w:type="paragraph" w:styleId="List">
    <w:name w:val="List"/>
    <w:basedOn w:val="BodyText"/>
    <w:next w:val="BodyText"/>
    <w:rsid w:val="00A94B0C"/>
    <w:pPr>
      <w:tabs>
        <w:tab w:val="left" w:pos="340"/>
      </w:tabs>
      <w:spacing w:before="60" w:after="60"/>
      <w:ind w:left="340" w:hanging="340"/>
    </w:pPr>
  </w:style>
  <w:style w:type="paragraph" w:customStyle="1" w:styleId="Note">
    <w:name w:val="Note"/>
    <w:basedOn w:val="BodyText"/>
    <w:rsid w:val="00A94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B0C"/>
    <w:pPr>
      <w:framePr w:wrap="auto" w:hAnchor="text" w:y="6049"/>
    </w:pPr>
    <w:rPr>
      <w:color w:val="000000"/>
      <w:sz w:val="40"/>
    </w:rPr>
  </w:style>
  <w:style w:type="paragraph" w:customStyle="1" w:styleId="TOCTitle">
    <w:name w:val="TOCTitle"/>
    <w:basedOn w:val="Heading1"/>
    <w:rsid w:val="00A94B0C"/>
    <w:pPr>
      <w:spacing w:after="240"/>
      <w:jc w:val="center"/>
      <w:outlineLvl w:val="9"/>
    </w:pPr>
    <w:rPr>
      <w:caps/>
    </w:rPr>
  </w:style>
  <w:style w:type="paragraph" w:customStyle="1" w:styleId="Version">
    <w:name w:val="Version"/>
    <w:rsid w:val="00A94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B0C"/>
    <w:pPr>
      <w:numPr>
        <w:numId w:val="12"/>
      </w:numPr>
      <w:tabs>
        <w:tab w:val="clear" w:pos="680"/>
      </w:tabs>
    </w:pPr>
  </w:style>
  <w:style w:type="paragraph" w:styleId="Index1">
    <w:name w:val="index 1"/>
    <w:basedOn w:val="Normal"/>
    <w:next w:val="Normal"/>
    <w:semiHidden/>
    <w:rsid w:val="00A94B0C"/>
    <w:pPr>
      <w:keepNext w:val="0"/>
      <w:tabs>
        <w:tab w:val="right" w:pos="4176"/>
      </w:tabs>
      <w:ind w:left="198" w:hanging="198"/>
    </w:pPr>
    <w:rPr>
      <w:rFonts w:ascii="Garamond" w:hAnsi="Garamond"/>
    </w:rPr>
  </w:style>
  <w:style w:type="paragraph" w:styleId="IndexHeading">
    <w:name w:val="index heading"/>
    <w:basedOn w:val="Normal"/>
    <w:next w:val="Index1"/>
    <w:semiHidden/>
    <w:rsid w:val="00A94B0C"/>
    <w:pPr>
      <w:spacing w:before="120" w:after="120"/>
    </w:pPr>
    <w:rPr>
      <w:rFonts w:ascii="Arial" w:hAnsi="Arial"/>
      <w:b/>
      <w:color w:val="918585"/>
      <w:sz w:val="24"/>
    </w:rPr>
  </w:style>
  <w:style w:type="paragraph" w:styleId="Header">
    <w:name w:val="header"/>
    <w:basedOn w:val="Normal"/>
    <w:link w:val="HeaderChar"/>
    <w:rsid w:val="00A94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B0C"/>
    <w:rPr>
      <w:rFonts w:ascii="Times New Roman" w:eastAsia="Times New Roman" w:hAnsi="Times New Roman" w:cs="Times New Roman"/>
      <w:sz w:val="16"/>
      <w:szCs w:val="20"/>
      <w:lang w:val="en-GB" w:eastAsia="en-US"/>
    </w:rPr>
  </w:style>
  <w:style w:type="paragraph" w:customStyle="1" w:styleId="Chapter">
    <w:name w:val="Chapter"/>
    <w:basedOn w:val="Normal"/>
    <w:rsid w:val="00A94B0C"/>
    <w:pPr>
      <w:spacing w:before="240"/>
    </w:pPr>
    <w:rPr>
      <w:rFonts w:ascii="Times New Roman" w:hAnsi="Times New Roman"/>
      <w:smallCaps/>
      <w:spacing w:val="80"/>
      <w:sz w:val="28"/>
    </w:rPr>
  </w:style>
  <w:style w:type="paragraph" w:customStyle="1" w:styleId="InChapter">
    <w:name w:val="InChapter"/>
    <w:basedOn w:val="Heading3"/>
    <w:rsid w:val="00A94B0C"/>
    <w:pPr>
      <w:spacing w:after="240"/>
      <w:outlineLvl w:val="9"/>
    </w:pPr>
    <w:rPr>
      <w:noProof/>
    </w:rPr>
  </w:style>
  <w:style w:type="paragraph" w:styleId="Index2">
    <w:name w:val="index 2"/>
    <w:basedOn w:val="Normal"/>
    <w:next w:val="Normal"/>
    <w:semiHidden/>
    <w:rsid w:val="00A94B0C"/>
    <w:pPr>
      <w:tabs>
        <w:tab w:val="right" w:pos="4176"/>
      </w:tabs>
      <w:ind w:left="568" w:hanging="284"/>
    </w:pPr>
    <w:rPr>
      <w:rFonts w:ascii="Garamond" w:hAnsi="Garamond"/>
    </w:rPr>
  </w:style>
  <w:style w:type="paragraph" w:customStyle="1" w:styleId="Byline">
    <w:name w:val="Byline"/>
    <w:rsid w:val="00A94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B0C"/>
    <w:pPr>
      <w:tabs>
        <w:tab w:val="clear" w:pos="3600"/>
        <w:tab w:val="clear" w:pos="3958"/>
      </w:tabs>
      <w:jc w:val="right"/>
    </w:pPr>
  </w:style>
  <w:style w:type="character" w:styleId="Emphasis">
    <w:name w:val="Emphasis"/>
    <w:basedOn w:val="DefaultParagraphFont"/>
    <w:qFormat/>
    <w:rsid w:val="00A94B0C"/>
    <w:rPr>
      <w:i/>
    </w:rPr>
  </w:style>
  <w:style w:type="paragraph" w:styleId="Caption">
    <w:name w:val="caption"/>
    <w:basedOn w:val="BodyText"/>
    <w:next w:val="Normal"/>
    <w:qFormat/>
    <w:rsid w:val="00A94B0C"/>
    <w:pPr>
      <w:framePr w:w="2268" w:hSpace="181" w:vSpace="181" w:wrap="around" w:vAnchor="text" w:hAnchor="page" w:x="1135" w:y="285" w:anchorLock="1"/>
    </w:pPr>
    <w:rPr>
      <w:i/>
    </w:rPr>
  </w:style>
  <w:style w:type="paragraph" w:customStyle="1" w:styleId="MiniTOCTitle">
    <w:name w:val="MiniTOCTitle"/>
    <w:basedOn w:val="Heading4"/>
    <w:rsid w:val="00A94B0C"/>
    <w:pPr>
      <w:spacing w:before="240"/>
      <w:outlineLvl w:val="9"/>
    </w:pPr>
    <w:rPr>
      <w:noProof/>
      <w:sz w:val="24"/>
    </w:rPr>
  </w:style>
  <w:style w:type="paragraph" w:customStyle="1" w:styleId="MiniTOCItem">
    <w:name w:val="MiniTOCItem"/>
    <w:basedOn w:val="ListBullet"/>
    <w:rsid w:val="00A94B0C"/>
    <w:pPr>
      <w:numPr>
        <w:numId w:val="0"/>
      </w:numPr>
      <w:tabs>
        <w:tab w:val="right" w:leader="dot" w:pos="6521"/>
      </w:tabs>
      <w:spacing w:before="0" w:after="0"/>
    </w:pPr>
  </w:style>
  <w:style w:type="paragraph" w:customStyle="1" w:styleId="TOFTitle">
    <w:name w:val="TOFTitle"/>
    <w:basedOn w:val="TOCTitle"/>
    <w:rsid w:val="00A94B0C"/>
  </w:style>
  <w:style w:type="paragraph" w:styleId="TableofFigures">
    <w:name w:val="table of figures"/>
    <w:basedOn w:val="Normal"/>
    <w:next w:val="Normal"/>
    <w:semiHidden/>
    <w:rsid w:val="00A94B0C"/>
    <w:pPr>
      <w:tabs>
        <w:tab w:val="right" w:leader="dot" w:pos="9072"/>
      </w:tabs>
      <w:ind w:left="970" w:hanging="403"/>
    </w:pPr>
    <w:rPr>
      <w:rFonts w:ascii="Times New Roman" w:hAnsi="Times New Roman"/>
      <w:b/>
    </w:rPr>
  </w:style>
  <w:style w:type="paragraph" w:styleId="ListNumber">
    <w:name w:val="List Number"/>
    <w:basedOn w:val="List"/>
    <w:rsid w:val="00A94B0C"/>
    <w:pPr>
      <w:numPr>
        <w:numId w:val="14"/>
      </w:numPr>
      <w:tabs>
        <w:tab w:val="clear" w:pos="340"/>
      </w:tabs>
    </w:pPr>
  </w:style>
  <w:style w:type="character" w:customStyle="1" w:styleId="WingdingSymbols">
    <w:name w:val="Wingding Symbols"/>
    <w:rsid w:val="00A94B0C"/>
    <w:rPr>
      <w:rFonts w:ascii="Wingdings" w:hAnsi="Wingdings"/>
    </w:rPr>
  </w:style>
  <w:style w:type="paragraph" w:customStyle="1" w:styleId="TableHeading">
    <w:name w:val="Table Heading"/>
    <w:basedOn w:val="HeadingBase"/>
    <w:rsid w:val="00A94B0C"/>
    <w:pPr>
      <w:keepLines/>
      <w:pBdr>
        <w:bottom w:val="single" w:sz="6" w:space="1" w:color="918585"/>
      </w:pBdr>
      <w:spacing w:before="240"/>
    </w:pPr>
  </w:style>
  <w:style w:type="character" w:customStyle="1" w:styleId="HotSpot">
    <w:name w:val="HotSpot"/>
    <w:rsid w:val="00A94B0C"/>
    <w:rPr>
      <w:color w:val="0033CC"/>
      <w:u w:val="none"/>
    </w:rPr>
  </w:style>
  <w:style w:type="paragraph" w:customStyle="1" w:styleId="BodyTextRight">
    <w:name w:val="Body Text Right"/>
    <w:basedOn w:val="BodyText"/>
    <w:rsid w:val="00A94B0C"/>
    <w:pPr>
      <w:spacing w:before="0" w:after="0"/>
      <w:jc w:val="right"/>
    </w:pPr>
  </w:style>
  <w:style w:type="paragraph" w:styleId="Index3">
    <w:name w:val="index 3"/>
    <w:basedOn w:val="ListNumber2"/>
    <w:next w:val="Normal"/>
    <w:semiHidden/>
    <w:rsid w:val="00A94B0C"/>
    <w:pPr>
      <w:numPr>
        <w:numId w:val="0"/>
      </w:numPr>
      <w:tabs>
        <w:tab w:val="right" w:leader="dot" w:pos="4176"/>
      </w:tabs>
    </w:pPr>
  </w:style>
  <w:style w:type="paragraph" w:styleId="ListNumber2">
    <w:name w:val="List Number 2"/>
    <w:basedOn w:val="List2"/>
    <w:rsid w:val="00A94B0C"/>
    <w:pPr>
      <w:numPr>
        <w:numId w:val="9"/>
      </w:numPr>
      <w:tabs>
        <w:tab w:val="clear" w:pos="1060"/>
      </w:tabs>
    </w:pPr>
  </w:style>
  <w:style w:type="paragraph" w:customStyle="1" w:styleId="MarginNote">
    <w:name w:val="Margin Note"/>
    <w:basedOn w:val="BodyText"/>
    <w:rsid w:val="00A94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B0C"/>
    <w:rPr>
      <w:sz w:val="32"/>
    </w:rPr>
  </w:style>
  <w:style w:type="paragraph" w:customStyle="1" w:styleId="HeadingProcedure">
    <w:name w:val="Heading Procedure"/>
    <w:basedOn w:val="HeadingBase"/>
    <w:next w:val="Normal"/>
    <w:rsid w:val="00A94B0C"/>
    <w:pPr>
      <w:tabs>
        <w:tab w:val="left" w:pos="0"/>
      </w:tabs>
      <w:spacing w:before="120" w:after="60"/>
    </w:pPr>
    <w:rPr>
      <w:i/>
      <w:color w:val="918585"/>
      <w:sz w:val="22"/>
    </w:rPr>
  </w:style>
  <w:style w:type="paragraph" w:customStyle="1" w:styleId="TableBodyText">
    <w:name w:val="Table Body Text"/>
    <w:basedOn w:val="BodyText"/>
    <w:rsid w:val="00A94B0C"/>
    <w:pPr>
      <w:spacing w:before="60" w:after="60"/>
    </w:pPr>
  </w:style>
  <w:style w:type="paragraph" w:styleId="ListContinue">
    <w:name w:val="List Continue"/>
    <w:basedOn w:val="List"/>
    <w:rsid w:val="00A94B0C"/>
    <w:pPr>
      <w:ind w:firstLine="0"/>
    </w:pPr>
  </w:style>
  <w:style w:type="paragraph" w:customStyle="1" w:styleId="ListNote">
    <w:name w:val="List Note"/>
    <w:basedOn w:val="List"/>
    <w:rsid w:val="00A94B0C"/>
    <w:pPr>
      <w:pBdr>
        <w:top w:val="single" w:sz="6" w:space="2" w:color="918585"/>
        <w:bottom w:val="single" w:sz="6" w:space="2" w:color="918585"/>
      </w:pBdr>
      <w:tabs>
        <w:tab w:val="left" w:pos="1021"/>
      </w:tabs>
      <w:ind w:firstLine="0"/>
    </w:pPr>
  </w:style>
  <w:style w:type="paragraph" w:customStyle="1" w:styleId="Warning">
    <w:name w:val="Warning"/>
    <w:basedOn w:val="BodyText"/>
    <w:rsid w:val="00A94B0C"/>
    <w:pPr>
      <w:shd w:val="clear" w:color="auto" w:fill="D9D9D9"/>
      <w:tabs>
        <w:tab w:val="left" w:pos="992"/>
      </w:tabs>
      <w:ind w:left="119" w:right="119"/>
    </w:pPr>
    <w:rPr>
      <w:sz w:val="20"/>
    </w:rPr>
  </w:style>
  <w:style w:type="paragraph" w:customStyle="1" w:styleId="MarginIcons">
    <w:name w:val="Margin Icons"/>
    <w:basedOn w:val="BodyText"/>
    <w:rsid w:val="00A94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B0C"/>
    <w:rPr>
      <w:rFonts w:ascii="Courier New" w:hAnsi="Courier New"/>
    </w:rPr>
  </w:style>
  <w:style w:type="paragraph" w:customStyle="1" w:styleId="NoteBullet">
    <w:name w:val="Note Bullet"/>
    <w:basedOn w:val="Note"/>
    <w:rsid w:val="00A94B0C"/>
    <w:pPr>
      <w:tabs>
        <w:tab w:val="clear" w:pos="680"/>
      </w:tabs>
      <w:spacing w:before="60" w:after="60"/>
    </w:pPr>
  </w:style>
  <w:style w:type="paragraph" w:customStyle="1" w:styleId="SubHeading2">
    <w:name w:val="SubHeading2"/>
    <w:basedOn w:val="HeadingBase"/>
    <w:rsid w:val="00A94B0C"/>
    <w:pPr>
      <w:spacing w:before="240" w:after="60"/>
    </w:pPr>
    <w:rPr>
      <w:sz w:val="20"/>
    </w:rPr>
  </w:style>
  <w:style w:type="paragraph" w:customStyle="1" w:styleId="SubHeading1">
    <w:name w:val="SubHeading1"/>
    <w:basedOn w:val="HeadingBase"/>
    <w:rsid w:val="00A94B0C"/>
    <w:pPr>
      <w:spacing w:before="240" w:after="60"/>
    </w:pPr>
    <w:rPr>
      <w:color w:val="918585"/>
      <w:sz w:val="22"/>
    </w:rPr>
  </w:style>
  <w:style w:type="paragraph" w:customStyle="1" w:styleId="SideHeading">
    <w:name w:val="Side Heading"/>
    <w:basedOn w:val="HeadingBase"/>
    <w:rsid w:val="00A94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B0C"/>
    <w:pPr>
      <w:numPr>
        <w:numId w:val="10"/>
      </w:numPr>
    </w:pPr>
  </w:style>
  <w:style w:type="paragraph" w:styleId="PlainText">
    <w:name w:val="Plain Text"/>
    <w:basedOn w:val="Normal"/>
    <w:link w:val="PlainTextChar"/>
    <w:rsid w:val="00A94B0C"/>
    <w:rPr>
      <w:sz w:val="20"/>
    </w:rPr>
  </w:style>
  <w:style w:type="character" w:customStyle="1" w:styleId="PlainTextChar">
    <w:name w:val="Plain Text Char"/>
    <w:basedOn w:val="DefaultParagraphFont"/>
    <w:link w:val="PlainText"/>
    <w:rsid w:val="00A94B0C"/>
    <w:rPr>
      <w:rFonts w:ascii="Courier New" w:eastAsia="Times New Roman" w:hAnsi="Courier New" w:cs="Times New Roman"/>
      <w:sz w:val="20"/>
      <w:szCs w:val="20"/>
      <w:lang w:eastAsia="en-US"/>
    </w:rPr>
  </w:style>
  <w:style w:type="character" w:customStyle="1" w:styleId="MenuOption">
    <w:name w:val="Menu Option"/>
    <w:basedOn w:val="DefaultParagraphFont"/>
    <w:rsid w:val="00A94B0C"/>
    <w:rPr>
      <w:b/>
      <w:smallCaps/>
    </w:rPr>
  </w:style>
  <w:style w:type="paragraph" w:customStyle="1" w:styleId="TableListNumber">
    <w:name w:val="Table List Number"/>
    <w:basedOn w:val="ListNumber"/>
    <w:rsid w:val="00A94B0C"/>
    <w:pPr>
      <w:numPr>
        <w:numId w:val="0"/>
      </w:numPr>
    </w:pPr>
  </w:style>
  <w:style w:type="paragraph" w:styleId="TOC4">
    <w:name w:val="toc 4"/>
    <w:basedOn w:val="TOCBase"/>
    <w:next w:val="Normal"/>
    <w:semiHidden/>
    <w:rsid w:val="00A94B0C"/>
    <w:pPr>
      <w:tabs>
        <w:tab w:val="right" w:leader="dot" w:pos="9071"/>
      </w:tabs>
      <w:ind w:left="1701"/>
    </w:pPr>
  </w:style>
  <w:style w:type="paragraph" w:customStyle="1" w:styleId="ListAlpha">
    <w:name w:val="List Alpha"/>
    <w:basedOn w:val="List"/>
    <w:rsid w:val="00A94B0C"/>
    <w:pPr>
      <w:numPr>
        <w:numId w:val="8"/>
      </w:numPr>
    </w:pPr>
  </w:style>
  <w:style w:type="paragraph" w:customStyle="1" w:styleId="ListAlpha2">
    <w:name w:val="List Alpha 2"/>
    <w:basedOn w:val="List2"/>
    <w:rsid w:val="00A94B0C"/>
    <w:pPr>
      <w:numPr>
        <w:numId w:val="7"/>
      </w:numPr>
    </w:pPr>
  </w:style>
  <w:style w:type="paragraph" w:styleId="List2">
    <w:name w:val="List 2"/>
    <w:basedOn w:val="BodyText"/>
    <w:rsid w:val="00A94B0C"/>
    <w:pPr>
      <w:tabs>
        <w:tab w:val="left" w:pos="680"/>
      </w:tabs>
      <w:spacing w:before="60" w:after="60"/>
      <w:ind w:left="680" w:hanging="340"/>
    </w:pPr>
  </w:style>
  <w:style w:type="paragraph" w:styleId="List3">
    <w:name w:val="List 3"/>
    <w:basedOn w:val="BodyText"/>
    <w:rsid w:val="00A94B0C"/>
    <w:pPr>
      <w:tabs>
        <w:tab w:val="left" w:pos="1021"/>
      </w:tabs>
      <w:spacing w:before="60" w:after="60"/>
      <w:ind w:left="1020" w:hanging="340"/>
    </w:pPr>
  </w:style>
  <w:style w:type="paragraph" w:styleId="List4">
    <w:name w:val="List 4"/>
    <w:basedOn w:val="BodyText"/>
    <w:rsid w:val="00A94B0C"/>
    <w:pPr>
      <w:tabs>
        <w:tab w:val="left" w:pos="1361"/>
      </w:tabs>
      <w:spacing w:before="60" w:after="60"/>
      <w:ind w:left="1361" w:hanging="340"/>
    </w:pPr>
  </w:style>
  <w:style w:type="paragraph" w:styleId="List5">
    <w:name w:val="List 5"/>
    <w:basedOn w:val="BodyText"/>
    <w:rsid w:val="00A94B0C"/>
    <w:pPr>
      <w:tabs>
        <w:tab w:val="left" w:pos="1701"/>
      </w:tabs>
      <w:spacing w:before="60" w:after="60"/>
      <w:ind w:left="1701" w:hanging="340"/>
    </w:pPr>
  </w:style>
  <w:style w:type="paragraph" w:styleId="ListBullet3">
    <w:name w:val="List Bullet 3"/>
    <w:basedOn w:val="List3"/>
    <w:rsid w:val="00A94B0C"/>
    <w:pPr>
      <w:numPr>
        <w:numId w:val="13"/>
      </w:numPr>
      <w:tabs>
        <w:tab w:val="clear" w:pos="1021"/>
      </w:tabs>
      <w:ind w:left="1037" w:hanging="357"/>
    </w:pPr>
  </w:style>
  <w:style w:type="paragraph" w:styleId="ListBullet4">
    <w:name w:val="List Bullet 4"/>
    <w:basedOn w:val="List4"/>
    <w:rsid w:val="00A94B0C"/>
    <w:pPr>
      <w:numPr>
        <w:numId w:val="2"/>
      </w:numPr>
      <w:tabs>
        <w:tab w:val="clear" w:pos="1361"/>
      </w:tabs>
    </w:pPr>
  </w:style>
  <w:style w:type="paragraph" w:styleId="ListBullet5">
    <w:name w:val="List Bullet 5"/>
    <w:basedOn w:val="List5"/>
    <w:rsid w:val="00A94B0C"/>
    <w:pPr>
      <w:numPr>
        <w:numId w:val="3"/>
      </w:numPr>
    </w:pPr>
  </w:style>
  <w:style w:type="paragraph" w:styleId="ListContinue2">
    <w:name w:val="List Continue 2"/>
    <w:basedOn w:val="List2"/>
    <w:rsid w:val="00A94B0C"/>
    <w:pPr>
      <w:ind w:firstLine="0"/>
    </w:pPr>
  </w:style>
  <w:style w:type="paragraph" w:styleId="ListContinue3">
    <w:name w:val="List Continue 3"/>
    <w:basedOn w:val="List3"/>
    <w:rsid w:val="00A94B0C"/>
    <w:pPr>
      <w:ind w:left="1021" w:firstLine="0"/>
    </w:pPr>
  </w:style>
  <w:style w:type="paragraph" w:styleId="ListContinue4">
    <w:name w:val="List Continue 4"/>
    <w:basedOn w:val="List4"/>
    <w:rsid w:val="00A94B0C"/>
    <w:pPr>
      <w:ind w:firstLine="0"/>
    </w:pPr>
  </w:style>
  <w:style w:type="paragraph" w:styleId="ListContinue5">
    <w:name w:val="List Continue 5"/>
    <w:basedOn w:val="List5"/>
    <w:rsid w:val="00A94B0C"/>
    <w:pPr>
      <w:ind w:firstLine="0"/>
    </w:pPr>
  </w:style>
  <w:style w:type="paragraph" w:styleId="ListNumber3">
    <w:name w:val="List Number 3"/>
    <w:basedOn w:val="List3"/>
    <w:rsid w:val="00A94B0C"/>
    <w:pPr>
      <w:numPr>
        <w:numId w:val="4"/>
      </w:numPr>
    </w:pPr>
  </w:style>
  <w:style w:type="paragraph" w:styleId="ListNumber4">
    <w:name w:val="List Number 4"/>
    <w:basedOn w:val="List4"/>
    <w:rsid w:val="00A94B0C"/>
    <w:pPr>
      <w:numPr>
        <w:numId w:val="5"/>
      </w:numPr>
    </w:pPr>
  </w:style>
  <w:style w:type="paragraph" w:styleId="ListNumber5">
    <w:name w:val="List Number 5"/>
    <w:basedOn w:val="List5"/>
    <w:rsid w:val="00A94B0C"/>
    <w:pPr>
      <w:numPr>
        <w:numId w:val="6"/>
      </w:numPr>
    </w:pPr>
  </w:style>
  <w:style w:type="paragraph" w:styleId="BlockText">
    <w:name w:val="Block Text"/>
    <w:basedOn w:val="Normal"/>
    <w:rsid w:val="00A94B0C"/>
    <w:pPr>
      <w:spacing w:after="120"/>
      <w:ind w:left="1440" w:right="1440"/>
    </w:pPr>
  </w:style>
  <w:style w:type="character" w:customStyle="1" w:styleId="Subscript">
    <w:name w:val="Subscript"/>
    <w:basedOn w:val="DefaultParagraphFont"/>
    <w:rsid w:val="00A94B0C"/>
    <w:rPr>
      <w:sz w:val="16"/>
      <w:vertAlign w:val="subscript"/>
    </w:rPr>
  </w:style>
  <w:style w:type="character" w:customStyle="1" w:styleId="Superscript">
    <w:name w:val="Superscript"/>
    <w:basedOn w:val="DefaultParagraphFont"/>
    <w:rsid w:val="00A94B0C"/>
    <w:rPr>
      <w:sz w:val="16"/>
      <w:vertAlign w:val="superscript"/>
    </w:rPr>
  </w:style>
  <w:style w:type="character" w:customStyle="1" w:styleId="Symbols">
    <w:name w:val="Symbols"/>
    <w:basedOn w:val="DefaultParagraphFont"/>
    <w:rsid w:val="00A94B0C"/>
    <w:rPr>
      <w:rFonts w:ascii="Symbol" w:hAnsi="Symbol"/>
    </w:rPr>
  </w:style>
  <w:style w:type="character" w:customStyle="1" w:styleId="MenuOptions">
    <w:name w:val="Menu Options"/>
    <w:basedOn w:val="DefaultParagraphFont"/>
    <w:rsid w:val="00A94B0C"/>
    <w:rPr>
      <w:rFonts w:ascii="Arial Narrow" w:hAnsi="Arial Narrow"/>
      <w:smallCaps/>
    </w:rPr>
  </w:style>
  <w:style w:type="character" w:customStyle="1" w:styleId="Buttons">
    <w:name w:val="Buttons"/>
    <w:basedOn w:val="DefaultParagraphFont"/>
    <w:rsid w:val="00A94B0C"/>
    <w:rPr>
      <w:b/>
    </w:rPr>
  </w:style>
  <w:style w:type="character" w:customStyle="1" w:styleId="Underlined">
    <w:name w:val="Underlined"/>
    <w:basedOn w:val="DefaultParagraphFont"/>
    <w:rsid w:val="00A94B0C"/>
    <w:rPr>
      <w:u w:val="single"/>
    </w:rPr>
  </w:style>
  <w:style w:type="paragraph" w:customStyle="1" w:styleId="TableBodyTextRight">
    <w:name w:val="Table Body Text Right"/>
    <w:basedOn w:val="TableBodyText"/>
    <w:rsid w:val="00A94B0C"/>
    <w:pPr>
      <w:widowControl w:val="0"/>
      <w:autoSpaceDE w:val="0"/>
      <w:autoSpaceDN w:val="0"/>
      <w:adjustRightInd w:val="0"/>
      <w:jc w:val="right"/>
    </w:pPr>
    <w:rPr>
      <w:rFonts w:cs="Arial"/>
      <w:szCs w:val="18"/>
    </w:rPr>
  </w:style>
  <w:style w:type="paragraph" w:customStyle="1" w:styleId="CopyrightText">
    <w:name w:val="Copyright Text"/>
    <w:basedOn w:val="BodyText"/>
    <w:rsid w:val="00A94B0C"/>
    <w:rPr>
      <w:sz w:val="18"/>
    </w:rPr>
  </w:style>
  <w:style w:type="paragraph" w:customStyle="1" w:styleId="BodySmallRight">
    <w:name w:val="Body Small Right"/>
    <w:basedOn w:val="BodyTextRight"/>
    <w:rsid w:val="00A94B0C"/>
    <w:rPr>
      <w:sz w:val="18"/>
      <w:szCs w:val="18"/>
    </w:rPr>
  </w:style>
  <w:style w:type="paragraph" w:customStyle="1" w:styleId="MarginEdition">
    <w:name w:val="Margin Edition"/>
    <w:basedOn w:val="MarginNote"/>
    <w:rsid w:val="00A94B0C"/>
    <w:pPr>
      <w:spacing w:before="0" w:after="0"/>
    </w:pPr>
    <w:rPr>
      <w:rFonts w:ascii="Times New Roman" w:hAnsi="Times New Roman"/>
      <w:color w:val="999999"/>
    </w:rPr>
  </w:style>
  <w:style w:type="paragraph" w:customStyle="1" w:styleId="Spacer">
    <w:name w:val="Spacer"/>
    <w:basedOn w:val="Normal"/>
    <w:rsid w:val="00A94B0C"/>
    <w:rPr>
      <w:sz w:val="2"/>
      <w:szCs w:val="2"/>
    </w:rPr>
  </w:style>
  <w:style w:type="character" w:customStyle="1" w:styleId="Small">
    <w:name w:val="Small"/>
    <w:basedOn w:val="DefaultParagraphFont"/>
    <w:rsid w:val="00A94B0C"/>
    <w:rPr>
      <w:sz w:val="16"/>
    </w:rPr>
  </w:style>
  <w:style w:type="paragraph" w:customStyle="1" w:styleId="WideTable">
    <w:name w:val="Wide Table"/>
    <w:basedOn w:val="Normal"/>
    <w:rsid w:val="00A94B0C"/>
    <w:pPr>
      <w:ind w:left="-1418"/>
    </w:pPr>
    <w:rPr>
      <w:sz w:val="2"/>
      <w:szCs w:val="2"/>
    </w:rPr>
  </w:style>
  <w:style w:type="character" w:styleId="PageNumber">
    <w:name w:val="page number"/>
    <w:basedOn w:val="DefaultParagraphFont"/>
    <w:rsid w:val="00A94B0C"/>
  </w:style>
  <w:style w:type="paragraph" w:styleId="Quote">
    <w:name w:val="Quote"/>
    <w:basedOn w:val="Heading1"/>
    <w:link w:val="QuoteChar"/>
    <w:qFormat/>
    <w:rsid w:val="00A94B0C"/>
    <w:rPr>
      <w:b w:val="0"/>
      <w:sz w:val="72"/>
      <w:szCs w:val="72"/>
      <w:lang w:val="en-NZ"/>
    </w:rPr>
  </w:style>
  <w:style w:type="character" w:customStyle="1" w:styleId="QuoteChar">
    <w:name w:val="Quote Char"/>
    <w:basedOn w:val="DefaultParagraphFont"/>
    <w:link w:val="Quote"/>
    <w:rsid w:val="00A94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B0C"/>
    <w:pPr>
      <w:pageBreakBefore/>
    </w:pPr>
  </w:style>
  <w:style w:type="paragraph" w:customStyle="1" w:styleId="Border">
    <w:name w:val="Border"/>
    <w:basedOn w:val="Normal"/>
    <w:qFormat/>
    <w:rsid w:val="00A94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B0C"/>
    <w:rPr>
      <w:b/>
      <w:bCs/>
      <w:i/>
      <w:iCs/>
      <w:color w:val="auto"/>
    </w:rPr>
  </w:style>
  <w:style w:type="paragraph" w:styleId="IntenseQuote">
    <w:name w:val="Intense Quote"/>
    <w:basedOn w:val="Normal"/>
    <w:next w:val="Normal"/>
    <w:link w:val="IntenseQuoteChar"/>
    <w:uiPriority w:val="30"/>
    <w:qFormat/>
    <w:rsid w:val="00A94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B0C"/>
    <w:rPr>
      <w:smallCaps/>
      <w:color w:val="auto"/>
      <w:u w:val="single"/>
    </w:rPr>
  </w:style>
  <w:style w:type="character" w:styleId="IntenseReference">
    <w:name w:val="Intense Reference"/>
    <w:basedOn w:val="DefaultParagraphFont"/>
    <w:uiPriority w:val="32"/>
    <w:qFormat/>
    <w:rsid w:val="00A94B0C"/>
    <w:rPr>
      <w:b/>
      <w:bCs/>
      <w:smallCaps/>
      <w:color w:val="auto"/>
      <w:spacing w:val="5"/>
      <w:u w:val="single"/>
    </w:rPr>
  </w:style>
  <w:style w:type="paragraph" w:customStyle="1" w:styleId="2ColumnHeading">
    <w:name w:val="2Column Heading"/>
    <w:basedOn w:val="BodyText"/>
    <w:qFormat/>
    <w:rsid w:val="00A94B0C"/>
    <w:pPr>
      <w:spacing w:after="60"/>
      <w:ind w:left="-2268"/>
    </w:pPr>
    <w:rPr>
      <w:b/>
    </w:rPr>
  </w:style>
  <w:style w:type="paragraph" w:customStyle="1" w:styleId="Heading1TOC">
    <w:name w:val="Heading1 TOC"/>
    <w:basedOn w:val="Normal"/>
    <w:qFormat/>
    <w:rsid w:val="00A94B0C"/>
    <w:pPr>
      <w:spacing w:before="240" w:after="120"/>
    </w:pPr>
    <w:rPr>
      <w:rFonts w:ascii="Times New Roman" w:hAnsi="Times New Roman"/>
      <w:b/>
      <w:sz w:val="32"/>
    </w:rPr>
  </w:style>
  <w:style w:type="paragraph" w:customStyle="1" w:styleId="Heading2TOC">
    <w:name w:val="Heading2 TOC"/>
    <w:basedOn w:val="Normal"/>
    <w:qFormat/>
    <w:rsid w:val="00A94B0C"/>
    <w:pPr>
      <w:spacing w:before="240" w:after="60"/>
    </w:pPr>
    <w:rPr>
      <w:rFonts w:ascii="Times New Roman" w:hAnsi="Times New Roman"/>
      <w:b/>
      <w:sz w:val="28"/>
    </w:rPr>
  </w:style>
  <w:style w:type="character" w:customStyle="1" w:styleId="Underline">
    <w:name w:val="Underline"/>
    <w:basedOn w:val="DefaultParagraphFont"/>
    <w:qFormat/>
    <w:rsid w:val="00A94B0C"/>
    <w:rPr>
      <w:u w:val="single"/>
    </w:rPr>
  </w:style>
  <w:style w:type="character" w:customStyle="1" w:styleId="BoldandItalics">
    <w:name w:val="Bold and Italics"/>
    <w:qFormat/>
    <w:rsid w:val="00A94B0C"/>
    <w:rPr>
      <w:b/>
      <w:i/>
      <w:u w:val="none"/>
    </w:rPr>
  </w:style>
  <w:style w:type="paragraph" w:styleId="BalloonText">
    <w:name w:val="Balloon Text"/>
    <w:basedOn w:val="Normal"/>
    <w:link w:val="BalloonTextChar"/>
    <w:rsid w:val="00A94B0C"/>
    <w:rPr>
      <w:rFonts w:ascii="Tahoma" w:hAnsi="Tahoma" w:cs="Tahoma"/>
      <w:sz w:val="16"/>
      <w:szCs w:val="16"/>
    </w:rPr>
  </w:style>
  <w:style w:type="character" w:customStyle="1" w:styleId="BalloonTextChar">
    <w:name w:val="Balloon Text Char"/>
    <w:basedOn w:val="DefaultParagraphFont"/>
    <w:link w:val="BalloonText"/>
    <w:rsid w:val="00A94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B0C"/>
    <w:rPr>
      <w:b/>
      <w:color w:val="660033"/>
      <w:spacing w:val="0"/>
    </w:rPr>
  </w:style>
  <w:style w:type="paragraph" w:customStyle="1" w:styleId="Nameditemlist">
    <w:name w:val="Named item list"/>
    <w:basedOn w:val="BodyText"/>
    <w:qFormat/>
    <w:rsid w:val="00A94B0C"/>
    <w:pPr>
      <w:tabs>
        <w:tab w:val="left" w:pos="2835"/>
      </w:tabs>
      <w:ind w:left="2835" w:hanging="2835"/>
    </w:pPr>
  </w:style>
  <w:style w:type="paragraph" w:customStyle="1" w:styleId="BodyTextnopadding">
    <w:name w:val="Body Text no padding"/>
    <w:basedOn w:val="BodyText"/>
    <w:qFormat/>
    <w:rsid w:val="00A94B0C"/>
    <w:pPr>
      <w:spacing w:before="0" w:after="0"/>
    </w:pPr>
  </w:style>
  <w:style w:type="paragraph" w:customStyle="1" w:styleId="BodyTextBold">
    <w:name w:val="Body Text Bold"/>
    <w:basedOn w:val="BodyText"/>
    <w:qFormat/>
    <w:rsid w:val="00A94B0C"/>
    <w:rPr>
      <w:b/>
    </w:rPr>
  </w:style>
  <w:style w:type="character" w:styleId="Hyperlink">
    <w:name w:val="Hyperlink"/>
    <w:basedOn w:val="DefaultParagraphFont"/>
    <w:uiPriority w:val="99"/>
    <w:unhideWhenUsed/>
    <w:rsid w:val="00F549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6456</Characters>
  <Application>Microsoft Office Word</Application>
  <DocSecurity>0</DocSecurity>
  <Lines>215</Lines>
  <Paragraphs>109</Paragraphs>
  <ScaleCrop>false</ScaleCrop>
  <Company>Author-it Software Corporation Ltd.</Company>
  <LinksUpToDate>false</LinksUpToDate>
  <CharactersWithSpaces>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AVIO0030 Conduct screening using explosive trace detection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