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AAF" w:rsidP="00401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AVIO0007 Control access to and exit from a security sensitive area</w:t>
      </w:r>
      <w:r>
        <w:fldChar w:fldCharType="end"/>
      </w:r>
    </w:p>
    <w:p w:rsidR="00401AAF" w:rsidP="00401AAF">
      <w:pPr>
        <w:pStyle w:val="Version"/>
        <w:sectPr w:rsidSect="00B51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7E3" w:rsidP="00B517E3">
      <w:pPr>
        <w:pStyle w:val="SuperHeading"/>
      </w:pPr>
      <w:r w:rsidRPr="00B517E3">
        <w:t>AVIO0007 Control access to and exit from a security sensitive area</w:t>
      </w:r>
    </w:p>
    <w:p w:rsidR="00000000" w:rsidRPr="00B517E3" w:rsidP="00B517E3">
      <w:pPr>
        <w:pStyle w:val="Heading1"/>
      </w:pPr>
      <w:bookmarkStart w:id="1" w:name="O_1007901"/>
      <w:bookmarkEnd w:id="1"/>
      <w:r w:rsidRPr="00B517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Release 1. This is the first release of this unit of competency in the AVI Aviation Training Package.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2" w:name="O_1007902"/>
      <w:bookmarkEnd w:id="2"/>
      <w:r w:rsidRPr="00B517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This unit involves the skills and knowledge required to control access to and exit from, a security sensitive area, in compliance with relevant regulatory requirements and national operating standards.</w:t>
            </w:r>
          </w:p>
          <w:p w:rsidR="00000000" w:rsidRPr="00B517E3" w:rsidP="00B517E3">
            <w:pPr>
              <w:pStyle w:val="BodyText"/>
            </w:pPr>
            <w:r w:rsidRPr="00B517E3">
              <w:t>It includes: managing persons; inspecting articles; an</w:t>
            </w:r>
            <w:r w:rsidRPr="00B517E3">
              <w:t>d managing access control systems in a security sensitive area operating environment.</w:t>
            </w:r>
          </w:p>
          <w:p w:rsidR="00000000" w:rsidRPr="00B517E3" w:rsidP="00B517E3">
            <w:pPr>
              <w:pStyle w:val="BodyText"/>
            </w:pPr>
            <w:r w:rsidRPr="00B517E3">
              <w:t>This unit addresses technical skill requirements (physical, mental and task-management abilities) related to security duties of screening officers, and contributes to saf</w:t>
            </w:r>
            <w:r w:rsidRPr="00B517E3">
              <w:t>e and effective performance in complex transport security operational environments.</w:t>
            </w:r>
          </w:p>
          <w:p w:rsidR="00000000" w:rsidRPr="00B517E3" w:rsidP="00B517E3">
            <w:pPr>
              <w:pStyle w:val="BodyText"/>
            </w:pPr>
            <w:r w:rsidRPr="00B517E3">
              <w:t>Operations are conducted as part of recreational and commercial activities across a variety of operational contexts within the Australian aviation industry and maritime env</w:t>
            </w:r>
            <w:r w:rsidRPr="00B517E3">
              <w:t>ironment.</w:t>
            </w:r>
          </w:p>
          <w:p w:rsidR="00000000" w:rsidRPr="00B517E3" w:rsidP="00B517E3">
            <w:pPr>
              <w:pStyle w:val="BodyText"/>
            </w:pPr>
            <w:r w:rsidRPr="00B517E3">
              <w:t>Screening is performed independently or under limited supervision until accredited as a screener then as a single operator or within a team environment.</w:t>
            </w:r>
          </w:p>
          <w:p w:rsidR="00000000" w:rsidRPr="00B517E3" w:rsidP="00B517E3">
            <w:pPr>
              <w:pStyle w:val="BodyText"/>
            </w:pPr>
            <w:r w:rsidRPr="00B517E3">
              <w:t>Licensing, legislative, regulatory or certification requirements are applicable to this unit.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3" w:name="O_1007903"/>
      <w:bookmarkEnd w:id="3"/>
      <w:r w:rsidRPr="00B517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Not applicable.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4" w:name="O_1007904"/>
      <w:bookmarkEnd w:id="4"/>
      <w:r w:rsidRPr="00B517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O – Security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5" w:name="O_1007905"/>
      <w:bookmarkEnd w:id="5"/>
      <w:r w:rsidRPr="00B517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Not applicable.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6" w:name="O_1007906"/>
      <w:bookmarkEnd w:id="6"/>
      <w:r w:rsidRPr="00B517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PERFORMANCE CRITERIA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Performance criteria describe the performance needed to demonstrate achievement of the element.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>Manage persons to enter a security sensitive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Appropriate p</w:t>
            </w:r>
            <w:r w:rsidRPr="00B517E3">
              <w:t>ersonal protective equipment is selected and used 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Identification details of persons entering security sensitive areas are verified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Entry validations are issued and collected 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Incidents that infringe or breach workplace procedures are acted on, reported and recorded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Persons are received in a professional and courteous manner and processed 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Relevant documentation is maintained in accordance with the organisation’s transport security program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Persons whose identification details cannot be verified are processed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>Inspect articles to enter a security sensitive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Requests to inspect baggage are made in accordance with le</w:t>
            </w:r>
            <w:r w:rsidRPr="00B517E3">
              <w:t>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Inspections are carried out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Prohibited items or weapons found during inspections are dealt with in accordance with legislativ</w:t>
            </w:r>
            <w:r w:rsidRPr="00B517E3">
              <w:t>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Notification of the detection of prohibited items or weapons found during inspection is carried out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Persons refusing inspection requests are reported and processed in accordance with legislative requirements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rPr>
                <w:rStyle w:val="SpecialBold"/>
              </w:rPr>
              <w:t xml:space="preserve">Manage access control systems in a security </w:t>
            </w:r>
            <w:r w:rsidRPr="00B517E3">
              <w:rPr>
                <w:rStyle w:val="SpecialBold"/>
              </w:rPr>
              <w:t>sensitive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Keys and access control devices for security sensitive ar</w:t>
            </w:r>
            <w:r w:rsidRPr="00B517E3">
              <w:t xml:space="preserve">eas are controlled, recorded, monitored and reconciled </w:t>
            </w:r>
            <w:r w:rsidRPr="00B517E3">
              <w:t>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Barriers are operated and controlled 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Control systems to secure security sensitive areas are operated in acc</w:t>
            </w:r>
            <w:r w:rsidRPr="00B517E3">
              <w:t>ordance with manufacturer instructions and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t>Keypad and alarm entry systems for security sensitive areas are activated and deactivated in accordance with workplace procedures</w:t>
            </w:r>
          </w:p>
        </w:tc>
      </w:tr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E3">
            <w:pPr>
              <w:pStyle w:val="BodyText"/>
              <w:rPr>
                <w:lang w:val="en-NZ"/>
              </w:rPr>
            </w:pPr>
            <w:r w:rsidRPr="00B517E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Relevant documentation is maintained in accordance with workplace procedures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7" w:name="O_1007907"/>
      <w:bookmarkEnd w:id="7"/>
      <w:r w:rsidRPr="00B517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Foundation skills essential to performance are explicit in the performance criteria of this unit of competency.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8" w:name="O_1007908"/>
      <w:bookmarkEnd w:id="8"/>
      <w:r w:rsidRPr="00B517E3">
        <w:t>Range o</w:t>
      </w:r>
      <w:r w:rsidRPr="00B517E3">
        <w:t>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Range is restricted to essential operating conditions and any other variables essential to the work environment.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9" w:name="O_1007909"/>
      <w:bookmarkEnd w:id="9"/>
      <w:r w:rsidRPr="00B517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E3" w:rsidP="00B517E3">
            <w:pPr>
              <w:pStyle w:val="BodyText"/>
            </w:pPr>
            <w:r w:rsidRPr="00B517E3">
              <w:t>This unit replaces and is equivalent to AVIO2006 Control access to and exit from an airside security zone or landside security zone at an airport.</w:t>
            </w:r>
          </w:p>
        </w:tc>
      </w:tr>
    </w:tbl>
    <w:p w:rsidR="00000000" w:rsidRPr="00B517E3" w:rsidP="00B517E3">
      <w:pPr>
        <w:pStyle w:val="NoPaddingFontSize1"/>
      </w:pPr>
    </w:p>
    <w:p w:rsidR="00000000" w:rsidRPr="00B517E3" w:rsidP="00B517E3">
      <w:pPr>
        <w:pStyle w:val="AllowPageBreak"/>
      </w:pPr>
    </w:p>
    <w:p w:rsidR="00000000" w:rsidRPr="00B517E3" w:rsidP="00B517E3">
      <w:pPr>
        <w:pStyle w:val="Heading1"/>
      </w:pPr>
      <w:bookmarkStart w:id="10" w:name="O_1007916"/>
      <w:bookmarkEnd w:id="10"/>
      <w:r w:rsidRPr="00B517E3">
        <w:t>Links</w:t>
      </w:r>
    </w:p>
    <w:p w:rsidR="00000000" w:rsidRPr="00B517E3" w:rsidP="00401AAF">
      <w:pPr>
        <w:pStyle w:val="BodyText"/>
      </w:pPr>
      <w:r w:rsidRPr="00B51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873D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517E3" w:rsidP="00B517E3"/>
    <w:sectPr w:rsidSect="00B51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E3" w:rsidRPr="00401AAF" w:rsidP="00401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AF" w:rsidP="00B51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AAF" w:rsidP="00B51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1AAF" w:rsidP="00B51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7E3" w:rsidRPr="00401AAF" w:rsidP="00401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AF" w:rsidRPr="002D2AF8" w:rsidP="00B51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AVIO0007 Control access to and exit from a security sensitive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01AAF" w:rsidP="00B51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7E3"/>
  </w:style>
  <w:style w:type="character" w:customStyle="1" w:styleId="Heading1Char">
    <w:name w:val="Heading 1 Char"/>
    <w:basedOn w:val="DefaultParagraphFont"/>
    <w:link w:val="Heading1"/>
    <w:rsid w:val="00B51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7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17E3"/>
    <w:rPr>
      <w:b/>
      <w:spacing w:val="0"/>
    </w:rPr>
  </w:style>
  <w:style w:type="paragraph" w:customStyle="1" w:styleId="SuperHeading">
    <w:name w:val="SuperHeading"/>
    <w:basedOn w:val="Normal"/>
    <w:rsid w:val="00B51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1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7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1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7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7E3"/>
    <w:rPr>
      <w:i/>
    </w:rPr>
  </w:style>
  <w:style w:type="paragraph" w:styleId="Caption">
    <w:name w:val="caption"/>
    <w:basedOn w:val="BodyText"/>
    <w:next w:val="Normal"/>
    <w:qFormat/>
    <w:rsid w:val="00B51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7E3"/>
  </w:style>
  <w:style w:type="paragraph" w:styleId="TableofFigures">
    <w:name w:val="table of figures"/>
    <w:basedOn w:val="Normal"/>
    <w:next w:val="Normal"/>
    <w:semiHidden/>
    <w:rsid w:val="00B51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7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17E3"/>
    <w:rPr>
      <w:rFonts w:ascii="Wingdings" w:hAnsi="Wingdings"/>
    </w:rPr>
  </w:style>
  <w:style w:type="paragraph" w:customStyle="1" w:styleId="TableHeading">
    <w:name w:val="Table Heading"/>
    <w:basedOn w:val="HeadingBase"/>
    <w:rsid w:val="00B51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7E3"/>
    <w:rPr>
      <w:color w:val="0033CC"/>
      <w:u w:val="none"/>
    </w:rPr>
  </w:style>
  <w:style w:type="paragraph" w:customStyle="1" w:styleId="BodyTextRight">
    <w:name w:val="Body Text Right"/>
    <w:basedOn w:val="BodyText"/>
    <w:rsid w:val="00B51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7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7E3"/>
    <w:rPr>
      <w:sz w:val="32"/>
    </w:rPr>
  </w:style>
  <w:style w:type="paragraph" w:customStyle="1" w:styleId="HeadingProcedure">
    <w:name w:val="Heading Procedure"/>
    <w:basedOn w:val="HeadingBase"/>
    <w:next w:val="Normal"/>
    <w:rsid w:val="00B51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7E3"/>
    <w:pPr>
      <w:spacing w:before="60" w:after="60"/>
    </w:pPr>
  </w:style>
  <w:style w:type="paragraph" w:styleId="ListContinue">
    <w:name w:val="List Continue"/>
    <w:basedOn w:val="List"/>
    <w:rsid w:val="00B517E3"/>
    <w:pPr>
      <w:ind w:firstLine="0"/>
    </w:pPr>
  </w:style>
  <w:style w:type="paragraph" w:customStyle="1" w:styleId="ListNote">
    <w:name w:val="List Note"/>
    <w:basedOn w:val="List"/>
    <w:rsid w:val="00B51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7E3"/>
    <w:rPr>
      <w:rFonts w:ascii="Courier New" w:hAnsi="Courier New"/>
    </w:rPr>
  </w:style>
  <w:style w:type="paragraph" w:customStyle="1" w:styleId="NoteBullet">
    <w:name w:val="Note Bullet"/>
    <w:basedOn w:val="Note"/>
    <w:rsid w:val="00B51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7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1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7E3"/>
    <w:rPr>
      <w:b/>
      <w:smallCaps/>
    </w:rPr>
  </w:style>
  <w:style w:type="paragraph" w:customStyle="1" w:styleId="TableListNumber">
    <w:name w:val="Table List Number"/>
    <w:basedOn w:val="ListNumber"/>
    <w:rsid w:val="00B51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7E3"/>
    <w:pPr>
      <w:numPr>
        <w:numId w:val="7"/>
      </w:numPr>
    </w:pPr>
  </w:style>
  <w:style w:type="paragraph" w:customStyle="1" w:styleId="ListAlpha2">
    <w:name w:val="List Alpha 2"/>
    <w:basedOn w:val="List2"/>
    <w:rsid w:val="00B517E3"/>
    <w:pPr>
      <w:numPr>
        <w:numId w:val="6"/>
      </w:numPr>
    </w:pPr>
  </w:style>
  <w:style w:type="paragraph" w:styleId="List2">
    <w:name w:val="List 2"/>
    <w:basedOn w:val="BodyText"/>
    <w:rsid w:val="00B51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7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7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17E3"/>
    <w:pPr>
      <w:numPr>
        <w:numId w:val="2"/>
      </w:numPr>
    </w:pPr>
  </w:style>
  <w:style w:type="paragraph" w:styleId="ListContinue2">
    <w:name w:val="List Continue 2"/>
    <w:basedOn w:val="List2"/>
    <w:rsid w:val="00B517E3"/>
    <w:pPr>
      <w:ind w:firstLine="0"/>
    </w:pPr>
  </w:style>
  <w:style w:type="paragraph" w:styleId="ListContinue3">
    <w:name w:val="List Continue 3"/>
    <w:basedOn w:val="List3"/>
    <w:rsid w:val="00B517E3"/>
    <w:pPr>
      <w:ind w:left="1021" w:firstLine="0"/>
    </w:pPr>
  </w:style>
  <w:style w:type="paragraph" w:styleId="ListContinue4">
    <w:name w:val="List Continue 4"/>
    <w:basedOn w:val="List4"/>
    <w:rsid w:val="00B517E3"/>
    <w:pPr>
      <w:ind w:firstLine="0"/>
    </w:pPr>
  </w:style>
  <w:style w:type="paragraph" w:styleId="ListContinue5">
    <w:name w:val="List Continue 5"/>
    <w:basedOn w:val="List5"/>
    <w:rsid w:val="00B517E3"/>
    <w:pPr>
      <w:ind w:firstLine="0"/>
    </w:pPr>
  </w:style>
  <w:style w:type="paragraph" w:styleId="ListNumber3">
    <w:name w:val="List Number 3"/>
    <w:basedOn w:val="List3"/>
    <w:rsid w:val="00B517E3"/>
    <w:pPr>
      <w:numPr>
        <w:numId w:val="3"/>
      </w:numPr>
    </w:pPr>
  </w:style>
  <w:style w:type="paragraph" w:styleId="ListNumber4">
    <w:name w:val="List Number 4"/>
    <w:basedOn w:val="List4"/>
    <w:rsid w:val="00B517E3"/>
    <w:pPr>
      <w:numPr>
        <w:numId w:val="4"/>
      </w:numPr>
    </w:pPr>
  </w:style>
  <w:style w:type="paragraph" w:styleId="ListNumber5">
    <w:name w:val="List Number 5"/>
    <w:basedOn w:val="List5"/>
    <w:rsid w:val="00B517E3"/>
    <w:pPr>
      <w:numPr>
        <w:numId w:val="5"/>
      </w:numPr>
    </w:pPr>
  </w:style>
  <w:style w:type="paragraph" w:styleId="BlockText">
    <w:name w:val="Block Text"/>
    <w:basedOn w:val="Normal"/>
    <w:rsid w:val="00B51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7E3"/>
    <w:rPr>
      <w:sz w:val="16"/>
      <w:vertAlign w:val="superscript"/>
    </w:rPr>
  </w:style>
  <w:style w:type="character" w:customStyle="1" w:styleId="Symbols">
    <w:name w:val="Symbols"/>
    <w:basedOn w:val="DefaultParagraphFont"/>
    <w:rsid w:val="00B517E3"/>
    <w:rPr>
      <w:rFonts w:ascii="Symbol" w:hAnsi="Symbol"/>
    </w:rPr>
  </w:style>
  <w:style w:type="character" w:customStyle="1" w:styleId="MenuOptions">
    <w:name w:val="Menu Options"/>
    <w:basedOn w:val="DefaultParagraphFont"/>
    <w:rsid w:val="00B51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7E3"/>
    <w:rPr>
      <w:b/>
    </w:rPr>
  </w:style>
  <w:style w:type="character" w:customStyle="1" w:styleId="Underlined">
    <w:name w:val="Underlined"/>
    <w:basedOn w:val="DefaultParagraphFont"/>
    <w:rsid w:val="00B517E3"/>
    <w:rPr>
      <w:u w:val="single"/>
    </w:rPr>
  </w:style>
  <w:style w:type="paragraph" w:customStyle="1" w:styleId="TableBodyTextRight">
    <w:name w:val="Table Body Text Right"/>
    <w:basedOn w:val="TableBodyText"/>
    <w:rsid w:val="00B51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7E3"/>
    <w:rPr>
      <w:sz w:val="18"/>
    </w:rPr>
  </w:style>
  <w:style w:type="paragraph" w:customStyle="1" w:styleId="BodySmallRight">
    <w:name w:val="Body Small Right"/>
    <w:basedOn w:val="BodyTextRight"/>
    <w:rsid w:val="00B517E3"/>
    <w:rPr>
      <w:sz w:val="18"/>
      <w:szCs w:val="18"/>
    </w:rPr>
  </w:style>
  <w:style w:type="paragraph" w:customStyle="1" w:styleId="MarginEdition">
    <w:name w:val="Margin Edition"/>
    <w:basedOn w:val="MarginNote"/>
    <w:rsid w:val="00B51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7E3"/>
    <w:rPr>
      <w:sz w:val="2"/>
      <w:szCs w:val="2"/>
    </w:rPr>
  </w:style>
  <w:style w:type="character" w:customStyle="1" w:styleId="Small">
    <w:name w:val="Small"/>
    <w:basedOn w:val="DefaultParagraphFont"/>
    <w:rsid w:val="00B517E3"/>
    <w:rPr>
      <w:sz w:val="16"/>
    </w:rPr>
  </w:style>
  <w:style w:type="paragraph" w:customStyle="1" w:styleId="WideTable">
    <w:name w:val="Wide Table"/>
    <w:basedOn w:val="Normal"/>
    <w:rsid w:val="00B51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7E3"/>
  </w:style>
  <w:style w:type="paragraph" w:styleId="Quote">
    <w:name w:val="Quote"/>
    <w:basedOn w:val="Heading1"/>
    <w:link w:val="QuoteChar"/>
    <w:qFormat/>
    <w:rsid w:val="00B51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7E3"/>
    <w:pPr>
      <w:pageBreakBefore/>
    </w:pPr>
  </w:style>
  <w:style w:type="paragraph" w:customStyle="1" w:styleId="Border">
    <w:name w:val="Border"/>
    <w:basedOn w:val="Normal"/>
    <w:qFormat/>
    <w:rsid w:val="00B51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7E3"/>
    <w:rPr>
      <w:u w:val="single"/>
    </w:rPr>
  </w:style>
  <w:style w:type="character" w:customStyle="1" w:styleId="BoldandItalics">
    <w:name w:val="Bold and Italics"/>
    <w:qFormat/>
    <w:rsid w:val="00B517E3"/>
    <w:rPr>
      <w:b/>
      <w:i/>
      <w:u w:val="none"/>
    </w:rPr>
  </w:style>
  <w:style w:type="paragraph" w:styleId="BalloonText">
    <w:name w:val="Balloon Text"/>
    <w:basedOn w:val="Normal"/>
    <w:link w:val="BalloonTextChar"/>
    <w:rsid w:val="00B51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7E3"/>
    <w:pPr>
      <w:spacing w:before="0" w:after="0"/>
    </w:pPr>
  </w:style>
  <w:style w:type="paragraph" w:customStyle="1" w:styleId="BodyTextBold">
    <w:name w:val="Body Text Bold"/>
    <w:basedOn w:val="BodyText"/>
    <w:qFormat/>
    <w:rsid w:val="00B517E3"/>
    <w:rPr>
      <w:b/>
    </w:rPr>
  </w:style>
  <w:style w:type="character" w:styleId="Hyperlink">
    <w:name w:val="Hyperlink"/>
    <w:basedOn w:val="DefaultParagraphFont"/>
    <w:uiPriority w:val="99"/>
    <w:unhideWhenUsed/>
    <w:rsid w:val="00401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4094</Characters>
  <Application>Microsoft Office Word</Application>
  <DocSecurity>0</DocSecurity>
  <Lines>178</Lines>
  <Paragraphs>85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AVIO0007 Control access to and exit from a security sensitive area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