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6E44" w:rsidP="00686E44">
      <w:pPr>
        <w:pStyle w:val="Title"/>
      </w:pPr>
      <w:r>
        <w:fldChar w:fldCharType="begin"/>
      </w:r>
      <w:r>
        <w:instrText xml:space="preserve"> TITLE   \* MERGEFORMAT </w:instrText>
      </w:r>
      <w:r>
        <w:fldChar w:fldCharType="separate"/>
      </w:r>
      <w:r>
        <w:t>AVIG0004 Apply regulatory obligations</w:t>
      </w:r>
      <w:r>
        <w:fldChar w:fldCharType="end"/>
      </w:r>
    </w:p>
    <w:p w:rsidR="00686E44" w:rsidP="00686E44">
      <w:pPr>
        <w:pStyle w:val="Version"/>
        <w:sectPr w:rsidSect="00C62F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2F87" w:rsidP="00C62F87">
      <w:pPr>
        <w:pStyle w:val="SuperHeading"/>
      </w:pPr>
      <w:r w:rsidRPr="00C62F87">
        <w:t>AVIG0004 Apply regulatory obligations</w:t>
      </w:r>
    </w:p>
    <w:p w:rsidR="00000000" w:rsidRPr="00C62F87" w:rsidP="00C62F87">
      <w:pPr>
        <w:pStyle w:val="Heading1"/>
      </w:pPr>
      <w:bookmarkStart w:id="1" w:name="O_1241068"/>
      <w:bookmarkEnd w:id="1"/>
      <w:r w:rsidRPr="00C62F87">
        <w:t>Modification History</w:t>
      </w:r>
    </w:p>
    <w:tbl>
      <w:tblPr>
        <w:tblW w:w="9497" w:type="dxa"/>
        <w:tblLayout w:type="fixed"/>
        <w:tblCellMar>
          <w:left w:w="62" w:type="dxa"/>
          <w:right w:w="62" w:type="dxa"/>
        </w:tblCellMar>
        <w:tblLook w:val="0000"/>
      </w:tblPr>
      <w:tblGrid>
        <w:gridCol w:w="9497"/>
      </w:tblGrid>
      <w:tr w:rsidTr="00C62F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2F87" w:rsidP="00C62F87">
            <w:pPr>
              <w:pStyle w:val="BodyText"/>
            </w:pPr>
            <w:r w:rsidRPr="00C62F87">
              <w:t>Release 1. This is the first release of this unit of competency in the AVI Aviation Training Package.</w:t>
            </w:r>
          </w:p>
        </w:tc>
      </w:tr>
    </w:tbl>
    <w:p w:rsidR="00000000" w:rsidRPr="00C62F87" w:rsidP="00C62F87">
      <w:pPr>
        <w:pStyle w:val="NoPaddingFontSize1"/>
      </w:pPr>
    </w:p>
    <w:p w:rsidR="00000000" w:rsidRPr="00C62F87" w:rsidP="00C62F87">
      <w:pPr>
        <w:pStyle w:val="AllowPageBreak"/>
      </w:pPr>
    </w:p>
    <w:p w:rsidR="00000000" w:rsidRPr="00C62F87" w:rsidP="00C62F87">
      <w:pPr>
        <w:pStyle w:val="Heading1"/>
      </w:pPr>
      <w:bookmarkStart w:id="2" w:name="O_1241069"/>
      <w:bookmarkEnd w:id="2"/>
      <w:r w:rsidRPr="00C62F87">
        <w:t>Application</w:t>
      </w:r>
    </w:p>
    <w:tbl>
      <w:tblPr>
        <w:tblW w:w="9497" w:type="dxa"/>
        <w:tblLayout w:type="fixed"/>
        <w:tblCellMar>
          <w:left w:w="62" w:type="dxa"/>
          <w:right w:w="62" w:type="dxa"/>
        </w:tblCellMar>
        <w:tblLook w:val="0000"/>
      </w:tblPr>
      <w:tblGrid>
        <w:gridCol w:w="9497"/>
      </w:tblGrid>
      <w:tr w:rsidTr="00C62F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2F87" w:rsidP="00C62F87">
            <w:pPr>
              <w:pStyle w:val="BodyText"/>
            </w:pPr>
            <w:r w:rsidRPr="00C62F87">
              <w:t xml:space="preserve">This unit describes the performance outcomes, skills and knowledge required to comply with laws and </w:t>
            </w:r>
            <w:r w:rsidRPr="00C62F87">
              <w:t>licensing requirements in aviation operations. It requires the ability to access and interpret regulatory information; determine scope of compliance; and develop, implement, and continuously review and update policies and practices for business compliance.</w:t>
            </w:r>
            <w:r w:rsidRPr="00C62F87">
              <w:t xml:space="preserve"> </w:t>
            </w:r>
          </w:p>
          <w:p w:rsidR="00000000" w:rsidRPr="00C62F87" w:rsidP="00C62F87">
            <w:pPr>
              <w:pStyle w:val="BodyText"/>
            </w:pPr>
            <w:r w:rsidRPr="00C62F87">
              <w:t>The unit applies to regulatory requirements for day-to-day operations in aviation operations in accordance with the Civil Aviation Safety Authority (CASA) rules and regulations.</w:t>
            </w:r>
          </w:p>
          <w:p w:rsidR="00000000" w:rsidRPr="00C62F87" w:rsidP="00C62F87">
            <w:pPr>
              <w:pStyle w:val="BodyText"/>
            </w:pPr>
            <w:r w:rsidRPr="00C62F87">
              <w:t>It applies to personnel who operate independently or with limited guidance f</w:t>
            </w:r>
            <w:r w:rsidRPr="00C62F87">
              <w:t>rom others and who are responsible for making a range of operational business and regulatory compliance decisions.</w:t>
            </w:r>
          </w:p>
          <w:p w:rsidR="00000000" w:rsidRPr="00C62F87" w:rsidP="00C62F87">
            <w:pPr>
              <w:pStyle w:val="BodyText"/>
            </w:pPr>
            <w:r w:rsidRPr="00C62F87">
              <w:t>No occupational licensing, certification or specific legislative requirements apply to this unit at the time of publication.</w:t>
            </w:r>
          </w:p>
        </w:tc>
      </w:tr>
    </w:tbl>
    <w:p w:rsidR="00000000" w:rsidRPr="00C62F87" w:rsidP="00C62F87">
      <w:pPr>
        <w:pStyle w:val="NoPaddingFontSize1"/>
      </w:pPr>
    </w:p>
    <w:p w:rsidR="00000000" w:rsidRPr="00C62F87" w:rsidP="00C62F87">
      <w:pPr>
        <w:pStyle w:val="AllowPageBreak"/>
      </w:pPr>
    </w:p>
    <w:p w:rsidR="00000000" w:rsidRPr="00C62F87" w:rsidP="00C62F87">
      <w:pPr>
        <w:pStyle w:val="Heading1"/>
      </w:pPr>
      <w:bookmarkStart w:id="3" w:name="O_1241070"/>
      <w:bookmarkEnd w:id="3"/>
      <w:r w:rsidRPr="00C62F87">
        <w:t>Pre-requisite Unit</w:t>
      </w:r>
    </w:p>
    <w:tbl>
      <w:tblPr>
        <w:tblW w:w="9497" w:type="dxa"/>
        <w:tblLayout w:type="fixed"/>
        <w:tblCellMar>
          <w:left w:w="62" w:type="dxa"/>
          <w:right w:w="62" w:type="dxa"/>
        </w:tblCellMar>
        <w:tblLook w:val="0000"/>
      </w:tblPr>
      <w:tblGrid>
        <w:gridCol w:w="9497"/>
      </w:tblGrid>
      <w:tr w:rsidTr="00C62F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2F87" w:rsidP="00C62F87">
            <w:pPr>
              <w:pStyle w:val="BodyText"/>
            </w:pPr>
            <w:r w:rsidRPr="00C62F87">
              <w:t>Not applicable.</w:t>
            </w:r>
          </w:p>
        </w:tc>
      </w:tr>
    </w:tbl>
    <w:p w:rsidR="00000000" w:rsidRPr="00C62F87" w:rsidP="00C62F87">
      <w:pPr>
        <w:pStyle w:val="NoPaddingFontSize1"/>
      </w:pPr>
    </w:p>
    <w:p w:rsidR="00000000" w:rsidRPr="00C62F87" w:rsidP="00C62F87">
      <w:pPr>
        <w:pStyle w:val="AllowPageBreak"/>
      </w:pPr>
    </w:p>
    <w:p w:rsidR="00000000" w:rsidRPr="00C62F87" w:rsidP="00C62F87">
      <w:pPr>
        <w:pStyle w:val="Heading1"/>
      </w:pPr>
      <w:bookmarkStart w:id="4" w:name="O_1241071"/>
      <w:bookmarkEnd w:id="4"/>
      <w:r w:rsidRPr="00C62F87">
        <w:t>Competency Field</w:t>
      </w:r>
    </w:p>
    <w:tbl>
      <w:tblPr>
        <w:tblW w:w="9497" w:type="dxa"/>
        <w:tblLayout w:type="fixed"/>
        <w:tblCellMar>
          <w:left w:w="62" w:type="dxa"/>
          <w:right w:w="62" w:type="dxa"/>
        </w:tblCellMar>
        <w:tblLook w:val="0000"/>
      </w:tblPr>
      <w:tblGrid>
        <w:gridCol w:w="9497"/>
      </w:tblGrid>
      <w:tr w:rsidTr="00C62F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2F87" w:rsidP="00C62F87">
            <w:pPr>
              <w:pStyle w:val="BodyText"/>
            </w:pPr>
            <w:r w:rsidRPr="00C62F87">
              <w:t>P - Administration and finance</w:t>
            </w:r>
          </w:p>
        </w:tc>
      </w:tr>
    </w:tbl>
    <w:p w:rsidR="00000000" w:rsidRPr="00C62F87" w:rsidP="00C62F87">
      <w:pPr>
        <w:pStyle w:val="NoPaddingFontSize1"/>
      </w:pPr>
    </w:p>
    <w:p w:rsidR="00000000" w:rsidRPr="00C62F87" w:rsidP="00C62F87">
      <w:pPr>
        <w:pStyle w:val="AllowPageBreak"/>
      </w:pPr>
    </w:p>
    <w:p w:rsidR="00000000" w:rsidRPr="00C62F87" w:rsidP="00C62F87">
      <w:pPr>
        <w:pStyle w:val="Heading1"/>
      </w:pPr>
      <w:bookmarkStart w:id="5" w:name="O_1241072"/>
      <w:bookmarkEnd w:id="5"/>
      <w:r w:rsidRPr="00C62F87">
        <w:t>Unit Sector</w:t>
      </w:r>
    </w:p>
    <w:tbl>
      <w:tblPr>
        <w:tblW w:w="9497" w:type="dxa"/>
        <w:tblLayout w:type="fixed"/>
        <w:tblCellMar>
          <w:left w:w="62" w:type="dxa"/>
          <w:right w:w="62" w:type="dxa"/>
        </w:tblCellMar>
        <w:tblLook w:val="0000"/>
      </w:tblPr>
      <w:tblGrid>
        <w:gridCol w:w="9497"/>
      </w:tblGrid>
      <w:tr w:rsidTr="00C62F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2F87" w:rsidP="00C62F87">
            <w:pPr>
              <w:pStyle w:val="BodyText"/>
            </w:pPr>
            <w:r w:rsidRPr="00C62F87">
              <w:t>Not applicable.</w:t>
            </w:r>
          </w:p>
        </w:tc>
      </w:tr>
    </w:tbl>
    <w:p w:rsidR="00000000" w:rsidRPr="00C62F87" w:rsidP="00C62F87">
      <w:pPr>
        <w:pStyle w:val="NoPaddingFontSize1"/>
      </w:pPr>
    </w:p>
    <w:p w:rsidR="00000000" w:rsidRPr="00C62F87" w:rsidP="00C62F87">
      <w:pPr>
        <w:pStyle w:val="AllowPageBreak"/>
      </w:pPr>
    </w:p>
    <w:p w:rsidR="00000000" w:rsidRPr="00C62F87" w:rsidP="00C62F87">
      <w:pPr>
        <w:pStyle w:val="Heading1"/>
      </w:pPr>
      <w:bookmarkStart w:id="6" w:name="O_1241073"/>
      <w:bookmarkEnd w:id="6"/>
      <w:r w:rsidRPr="00C62F87">
        <w:t>Elements and Performance Criteria</w:t>
      </w:r>
    </w:p>
    <w:tbl>
      <w:tblPr>
        <w:tblW w:w="9497" w:type="dxa"/>
        <w:tblLayout w:type="fixed"/>
        <w:tblCellMar>
          <w:left w:w="62" w:type="dxa"/>
          <w:right w:w="62" w:type="dxa"/>
        </w:tblCellMar>
        <w:tblLook w:val="0000"/>
      </w:tblPr>
      <w:tblGrid>
        <w:gridCol w:w="403"/>
        <w:gridCol w:w="2855"/>
        <w:gridCol w:w="697"/>
        <w:gridCol w:w="5542"/>
      </w:tblGrid>
      <w:tr w:rsidTr="00C62F87">
        <w:tblPrEx>
          <w:tblW w:w="9497" w:type="dxa"/>
          <w:tblLayout w:type="fixed"/>
          <w:tblCellMar>
            <w:left w:w="62" w:type="dxa"/>
            <w:right w:w="62" w:type="dxa"/>
          </w:tblCellMar>
          <w:tblLook w:val="0000"/>
        </w:tblPrEx>
        <w:tc>
          <w:tcPr>
            <w:tcW w:w="3258" w:type="dxa"/>
            <w:gridSpan w:val="2"/>
            <w:tcBorders>
              <w:top w:val="nil"/>
              <w:left w:val="nil"/>
              <w:bottom w:val="nil"/>
              <w:right w:val="nil"/>
            </w:tcBorders>
            <w:tcMar>
              <w:top w:w="0" w:type="dxa"/>
              <w:left w:w="62" w:type="dxa"/>
              <w:bottom w:w="0" w:type="dxa"/>
              <w:right w:w="62" w:type="dxa"/>
            </w:tcMar>
          </w:tcPr>
          <w:p w:rsidR="00000000" w:rsidRPr="00C62F87" w:rsidP="00C62F87">
            <w:pPr>
              <w:pStyle w:val="BodyText"/>
            </w:pPr>
            <w:r w:rsidRPr="00C62F87">
              <w:rPr>
                <w:rStyle w:val="SpecialBold"/>
              </w:rPr>
              <w:t>ELEMENTS</w:t>
            </w:r>
          </w:p>
        </w:tc>
        <w:tc>
          <w:tcPr>
            <w:tcW w:w="6239" w:type="dxa"/>
            <w:gridSpan w:val="2"/>
            <w:tcBorders>
              <w:top w:val="nil"/>
              <w:left w:val="nil"/>
              <w:bottom w:val="nil"/>
              <w:right w:val="nil"/>
            </w:tcBorders>
            <w:tcMar>
              <w:top w:w="0" w:type="dxa"/>
              <w:left w:w="62" w:type="dxa"/>
              <w:bottom w:w="0" w:type="dxa"/>
              <w:right w:w="62" w:type="dxa"/>
            </w:tcMar>
          </w:tcPr>
          <w:p w:rsidR="00000000" w:rsidP="00C62F87">
            <w:pPr>
              <w:pStyle w:val="BodyText"/>
              <w:rPr>
                <w:lang w:val="en-NZ"/>
              </w:rPr>
            </w:pPr>
            <w:r w:rsidRPr="00C62F87">
              <w:rPr>
                <w:rStyle w:val="SpecialBold"/>
              </w:rPr>
              <w:t>PERFORMANCE CRITERIA</w:t>
            </w:r>
          </w:p>
        </w:tc>
      </w:tr>
      <w:tr w:rsidTr="00C62F87">
        <w:tblPrEx>
          <w:tblW w:w="9497" w:type="dxa"/>
          <w:tblLayout w:type="fixed"/>
          <w:tblCellMar>
            <w:left w:w="62" w:type="dxa"/>
            <w:right w:w="62" w:type="dxa"/>
          </w:tblCellMar>
          <w:tblLook w:val="0000"/>
        </w:tblPrEx>
        <w:tc>
          <w:tcPr>
            <w:tcW w:w="3258" w:type="dxa"/>
            <w:gridSpan w:val="2"/>
            <w:tcBorders>
              <w:top w:val="nil"/>
              <w:left w:val="nil"/>
              <w:bottom w:val="nil"/>
              <w:right w:val="nil"/>
            </w:tcBorders>
            <w:tcMar>
              <w:top w:w="0" w:type="dxa"/>
              <w:left w:w="62" w:type="dxa"/>
              <w:bottom w:w="0" w:type="dxa"/>
              <w:right w:w="62" w:type="dxa"/>
            </w:tcMar>
          </w:tcPr>
          <w:p w:rsidR="00000000" w:rsidP="00C62F87">
            <w:pPr>
              <w:pStyle w:val="BodyText"/>
              <w:rPr>
                <w:lang w:val="en-NZ"/>
              </w:rPr>
            </w:pPr>
            <w:r w:rsidRPr="00C62F87">
              <w:t>Elements describe the essential outcomes.</w:t>
            </w:r>
          </w:p>
        </w:tc>
        <w:tc>
          <w:tcPr>
            <w:tcW w:w="6239" w:type="dxa"/>
            <w:gridSpan w:val="2"/>
            <w:tcBorders>
              <w:top w:val="nil"/>
              <w:left w:val="nil"/>
              <w:bottom w:val="nil"/>
              <w:right w:val="nil"/>
            </w:tcBorders>
            <w:tcMar>
              <w:top w:w="0" w:type="dxa"/>
              <w:left w:w="62" w:type="dxa"/>
              <w:bottom w:w="0" w:type="dxa"/>
              <w:right w:w="62" w:type="dxa"/>
            </w:tcMar>
          </w:tcPr>
          <w:p w:rsidR="00000000" w:rsidP="00C62F87">
            <w:pPr>
              <w:pStyle w:val="BodyText"/>
              <w:rPr>
                <w:lang w:val="en-NZ"/>
              </w:rPr>
            </w:pPr>
            <w:r w:rsidRPr="00C62F87">
              <w:t>Performance criteria describe the performance needed to demonstrate achievement of the element.</w:t>
            </w:r>
          </w:p>
        </w:tc>
      </w:tr>
      <w:tr w:rsidTr="00C62F8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C62F87" w:rsidP="00C62F87">
            <w:pPr>
              <w:pStyle w:val="BodyText"/>
            </w:pPr>
            <w:r w:rsidRPr="00C62F87">
              <w:rPr>
                <w:rStyle w:val="SpecialBold"/>
              </w:rPr>
              <w:t>1</w:t>
            </w:r>
          </w:p>
        </w:tc>
        <w:tc>
          <w:tcPr>
            <w:tcW w:w="2855" w:type="dxa"/>
            <w:tcBorders>
              <w:top w:val="nil"/>
              <w:left w:val="nil"/>
              <w:bottom w:val="nil"/>
              <w:right w:val="nil"/>
            </w:tcBorders>
            <w:tcMar>
              <w:top w:w="0" w:type="dxa"/>
              <w:left w:w="62" w:type="dxa"/>
              <w:bottom w:w="0" w:type="dxa"/>
              <w:right w:w="62" w:type="dxa"/>
            </w:tcMar>
          </w:tcPr>
          <w:p w:rsidR="00000000" w:rsidRPr="00C62F87" w:rsidP="00C62F87">
            <w:pPr>
              <w:pStyle w:val="BodyText"/>
            </w:pPr>
            <w:r w:rsidRPr="00C62F87">
              <w:rPr>
                <w:rStyle w:val="SpecialBold"/>
              </w:rPr>
              <w:t xml:space="preserve">Research information required for </w:t>
            </w:r>
            <w:r w:rsidRPr="00C62F87">
              <w:rPr>
                <w:rStyle w:val="SpecialBold"/>
              </w:rPr>
              <w:t>legal</w:t>
            </w:r>
            <w:r w:rsidRPr="00C62F87">
              <w:t>/</w:t>
            </w:r>
            <w:r w:rsidRPr="00C62F87">
              <w:rPr>
                <w:rStyle w:val="SpecialBold"/>
              </w:rPr>
              <w:t>regulatory compliance</w:t>
            </w:r>
          </w:p>
        </w:tc>
        <w:tc>
          <w:tcPr>
            <w:tcW w:w="697" w:type="dxa"/>
            <w:tcBorders>
              <w:top w:val="nil"/>
              <w:left w:val="nil"/>
              <w:bottom w:val="nil"/>
              <w:right w:val="nil"/>
            </w:tcBorders>
            <w:tcMar>
              <w:top w:w="0" w:type="dxa"/>
              <w:left w:w="62" w:type="dxa"/>
              <w:bottom w:w="0" w:type="dxa"/>
              <w:right w:w="62" w:type="dxa"/>
            </w:tcMar>
          </w:tcPr>
          <w:p w:rsidR="00000000" w:rsidP="00C62F87">
            <w:pPr>
              <w:pStyle w:val="BodyText"/>
              <w:rPr>
                <w:lang w:val="en-NZ"/>
              </w:rPr>
            </w:pPr>
            <w:r w:rsidRPr="00C62F87">
              <w:rPr>
                <w:rStyle w:val="SpecialBold"/>
              </w:rPr>
              <w:t>1.1</w:t>
            </w:r>
          </w:p>
        </w:tc>
        <w:tc>
          <w:tcPr>
            <w:tcW w:w="5542" w:type="dxa"/>
            <w:tcBorders>
              <w:top w:val="nil"/>
              <w:left w:val="nil"/>
              <w:bottom w:val="nil"/>
              <w:right w:val="nil"/>
            </w:tcBorders>
            <w:tcMar>
              <w:top w:w="0" w:type="dxa"/>
              <w:left w:w="62" w:type="dxa"/>
              <w:bottom w:w="0" w:type="dxa"/>
              <w:right w:w="62" w:type="dxa"/>
            </w:tcMar>
          </w:tcPr>
          <w:p w:rsidR="00000000" w:rsidP="00C62F87">
            <w:pPr>
              <w:pStyle w:val="BodyText"/>
              <w:rPr>
                <w:lang w:val="en-NZ"/>
              </w:rPr>
            </w:pPr>
            <w:r w:rsidRPr="00C62F87">
              <w:t xml:space="preserve">Sources of information for compliance with laws and licensing for business operations are accessed, </w:t>
            </w:r>
            <w:r w:rsidRPr="00C62F87">
              <w:t xml:space="preserve">identified and evaluated </w:t>
            </w:r>
          </w:p>
        </w:tc>
      </w:tr>
      <w:tr w:rsidTr="00C62F8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C62F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62F87">
            <w:pPr>
              <w:pStyle w:val="BodyText"/>
              <w:rPr>
                <w:lang w:val="en-NZ"/>
              </w:rPr>
            </w:pPr>
            <w:r w:rsidRPr="00C62F87">
              <w:rPr>
                <w:rStyle w:val="SpecialBold"/>
              </w:rPr>
              <w:t>1.2</w:t>
            </w:r>
          </w:p>
        </w:tc>
        <w:tc>
          <w:tcPr>
            <w:tcW w:w="5542" w:type="dxa"/>
            <w:tcBorders>
              <w:top w:val="nil"/>
              <w:left w:val="nil"/>
              <w:bottom w:val="nil"/>
              <w:right w:val="nil"/>
            </w:tcBorders>
            <w:tcMar>
              <w:top w:w="0" w:type="dxa"/>
              <w:left w:w="62" w:type="dxa"/>
              <w:bottom w:w="0" w:type="dxa"/>
              <w:right w:w="62" w:type="dxa"/>
            </w:tcMar>
          </w:tcPr>
          <w:p w:rsidR="00000000" w:rsidP="00C62F87">
            <w:pPr>
              <w:pStyle w:val="BodyText"/>
              <w:rPr>
                <w:lang w:val="en-NZ"/>
              </w:rPr>
            </w:pPr>
            <w:r w:rsidRPr="00C62F87">
              <w:t xml:space="preserve">Risks, penalties and consequences of non-compliance are identified </w:t>
            </w:r>
          </w:p>
        </w:tc>
      </w:tr>
      <w:tr w:rsidTr="00C62F8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C62F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62F87">
            <w:pPr>
              <w:pStyle w:val="BodyText"/>
              <w:rPr>
                <w:lang w:val="en-NZ"/>
              </w:rPr>
            </w:pPr>
            <w:r w:rsidRPr="00C62F87">
              <w:rPr>
                <w:rStyle w:val="SpecialBold"/>
              </w:rPr>
              <w:t>1.3</w:t>
            </w:r>
          </w:p>
        </w:tc>
        <w:tc>
          <w:tcPr>
            <w:tcW w:w="5542" w:type="dxa"/>
            <w:tcBorders>
              <w:top w:val="nil"/>
              <w:left w:val="nil"/>
              <w:bottom w:val="nil"/>
              <w:right w:val="nil"/>
            </w:tcBorders>
            <w:tcMar>
              <w:top w:w="0" w:type="dxa"/>
              <w:left w:w="62" w:type="dxa"/>
              <w:bottom w:w="0" w:type="dxa"/>
              <w:right w:w="62" w:type="dxa"/>
            </w:tcMar>
          </w:tcPr>
          <w:p w:rsidR="00000000" w:rsidP="00C62F87">
            <w:pPr>
              <w:pStyle w:val="BodyText"/>
              <w:rPr>
                <w:lang w:val="en-NZ"/>
              </w:rPr>
            </w:pPr>
            <w:r w:rsidRPr="00C62F87">
              <w:t>Need for specialist or regulatory advice are assessed and acted upon</w:t>
            </w:r>
          </w:p>
        </w:tc>
      </w:tr>
      <w:tr w:rsidTr="00C62F8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C62F87" w:rsidP="00C62F87">
            <w:pPr>
              <w:pStyle w:val="BodyText"/>
            </w:pPr>
            <w:r w:rsidRPr="00C62F87">
              <w:rPr>
                <w:rStyle w:val="SpecialBold"/>
              </w:rPr>
              <w:t>2</w:t>
            </w:r>
          </w:p>
        </w:tc>
        <w:tc>
          <w:tcPr>
            <w:tcW w:w="2855" w:type="dxa"/>
            <w:tcBorders>
              <w:top w:val="nil"/>
              <w:left w:val="nil"/>
              <w:bottom w:val="nil"/>
              <w:right w:val="nil"/>
            </w:tcBorders>
            <w:tcMar>
              <w:top w:w="0" w:type="dxa"/>
              <w:left w:w="62" w:type="dxa"/>
              <w:bottom w:w="0" w:type="dxa"/>
              <w:right w:w="62" w:type="dxa"/>
            </w:tcMar>
          </w:tcPr>
          <w:p w:rsidR="00000000" w:rsidRPr="00C62F87" w:rsidP="00C62F87">
            <w:pPr>
              <w:pStyle w:val="BodyText"/>
            </w:pPr>
            <w:r w:rsidRPr="00C62F87">
              <w:rPr>
                <w:rStyle w:val="SpecialBold"/>
              </w:rPr>
              <w:t>Develop and communicate policies and procedures for legal</w:t>
            </w:r>
            <w:r w:rsidRPr="00C62F87">
              <w:t>/</w:t>
            </w:r>
            <w:r w:rsidRPr="00C62F87">
              <w:rPr>
                <w:rStyle w:val="SpecialBold"/>
              </w:rPr>
              <w:t>regulatory compliance</w:t>
            </w:r>
          </w:p>
        </w:tc>
        <w:tc>
          <w:tcPr>
            <w:tcW w:w="697" w:type="dxa"/>
            <w:tcBorders>
              <w:top w:val="nil"/>
              <w:left w:val="nil"/>
              <w:bottom w:val="nil"/>
              <w:right w:val="nil"/>
            </w:tcBorders>
            <w:tcMar>
              <w:top w:w="0" w:type="dxa"/>
              <w:left w:w="62" w:type="dxa"/>
              <w:bottom w:w="0" w:type="dxa"/>
              <w:right w:w="62" w:type="dxa"/>
            </w:tcMar>
          </w:tcPr>
          <w:p w:rsidR="00000000" w:rsidP="00C62F87">
            <w:pPr>
              <w:pStyle w:val="BodyText"/>
              <w:rPr>
                <w:lang w:val="en-NZ"/>
              </w:rPr>
            </w:pPr>
            <w:r w:rsidRPr="00C62F87">
              <w:rPr>
                <w:rStyle w:val="SpecialBold"/>
              </w:rPr>
              <w:t>2.1</w:t>
            </w:r>
          </w:p>
        </w:tc>
        <w:tc>
          <w:tcPr>
            <w:tcW w:w="5542" w:type="dxa"/>
            <w:tcBorders>
              <w:top w:val="nil"/>
              <w:left w:val="nil"/>
              <w:bottom w:val="nil"/>
              <w:right w:val="nil"/>
            </w:tcBorders>
            <w:tcMar>
              <w:top w:w="0" w:type="dxa"/>
              <w:left w:w="62" w:type="dxa"/>
              <w:bottom w:w="0" w:type="dxa"/>
              <w:right w:w="62" w:type="dxa"/>
            </w:tcMar>
          </w:tcPr>
          <w:p w:rsidR="00000000" w:rsidP="00C62F87">
            <w:pPr>
              <w:pStyle w:val="BodyText"/>
              <w:rPr>
                <w:lang w:val="en-NZ"/>
              </w:rPr>
            </w:pPr>
            <w:r w:rsidRPr="00C62F87">
              <w:t>Regulatory policies and procedures in a format readily accessible to all personnel are developed and</w:t>
            </w:r>
            <w:r w:rsidRPr="00C62F87">
              <w:t xml:space="preserve"> clearly articulated</w:t>
            </w:r>
          </w:p>
        </w:tc>
      </w:tr>
      <w:tr w:rsidTr="00C62F8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C62F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62F87">
            <w:pPr>
              <w:pStyle w:val="BodyText"/>
              <w:rPr>
                <w:lang w:val="en-NZ"/>
              </w:rPr>
            </w:pPr>
            <w:r w:rsidRPr="00C62F87">
              <w:rPr>
                <w:rStyle w:val="SpecialBold"/>
              </w:rPr>
              <w:t>2.2</w:t>
            </w:r>
          </w:p>
        </w:tc>
        <w:tc>
          <w:tcPr>
            <w:tcW w:w="5542" w:type="dxa"/>
            <w:tcBorders>
              <w:top w:val="nil"/>
              <w:left w:val="nil"/>
              <w:bottom w:val="nil"/>
              <w:right w:val="nil"/>
            </w:tcBorders>
            <w:tcMar>
              <w:top w:w="0" w:type="dxa"/>
              <w:left w:w="62" w:type="dxa"/>
              <w:bottom w:w="0" w:type="dxa"/>
              <w:right w:w="62" w:type="dxa"/>
            </w:tcMar>
          </w:tcPr>
          <w:p w:rsidR="00000000" w:rsidP="00C62F87">
            <w:pPr>
              <w:pStyle w:val="BodyText"/>
              <w:rPr>
                <w:lang w:val="en-NZ"/>
              </w:rPr>
            </w:pPr>
            <w:r w:rsidRPr="00C62F87">
              <w:t>Roles and responsibilities of personnel for regulatory compliance in policies and procedures are nominated</w:t>
            </w:r>
          </w:p>
        </w:tc>
      </w:tr>
      <w:tr w:rsidTr="00C62F8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C62F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62F87">
            <w:pPr>
              <w:pStyle w:val="BodyText"/>
              <w:rPr>
                <w:lang w:val="en-NZ"/>
              </w:rPr>
            </w:pPr>
            <w:r w:rsidRPr="00C62F87">
              <w:rPr>
                <w:rStyle w:val="SpecialBold"/>
              </w:rPr>
              <w:t>2.3</w:t>
            </w:r>
          </w:p>
        </w:tc>
        <w:tc>
          <w:tcPr>
            <w:tcW w:w="5542" w:type="dxa"/>
            <w:tcBorders>
              <w:top w:val="nil"/>
              <w:left w:val="nil"/>
              <w:bottom w:val="nil"/>
              <w:right w:val="nil"/>
            </w:tcBorders>
            <w:tcMar>
              <w:top w:w="0" w:type="dxa"/>
              <w:left w:w="62" w:type="dxa"/>
              <w:bottom w:w="0" w:type="dxa"/>
              <w:right w:w="62" w:type="dxa"/>
            </w:tcMar>
          </w:tcPr>
          <w:p w:rsidR="00000000" w:rsidP="00C62F87">
            <w:pPr>
              <w:pStyle w:val="BodyText"/>
              <w:rPr>
                <w:lang w:val="en-NZ"/>
              </w:rPr>
            </w:pPr>
            <w:r w:rsidRPr="00C62F87">
              <w:t>Policies, procedures and legal information are distributed to personnel at appropriate times</w:t>
            </w:r>
          </w:p>
        </w:tc>
      </w:tr>
      <w:tr w:rsidTr="00C62F8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C62F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62F87">
            <w:pPr>
              <w:pStyle w:val="BodyText"/>
              <w:rPr>
                <w:lang w:val="en-NZ"/>
              </w:rPr>
            </w:pPr>
            <w:r w:rsidRPr="00C62F87">
              <w:rPr>
                <w:rStyle w:val="SpecialBold"/>
              </w:rPr>
              <w:t>2.4</w:t>
            </w:r>
          </w:p>
        </w:tc>
        <w:tc>
          <w:tcPr>
            <w:tcW w:w="5542" w:type="dxa"/>
            <w:tcBorders>
              <w:top w:val="nil"/>
              <w:left w:val="nil"/>
              <w:bottom w:val="nil"/>
              <w:right w:val="nil"/>
            </w:tcBorders>
            <w:tcMar>
              <w:top w:w="0" w:type="dxa"/>
              <w:left w:w="62" w:type="dxa"/>
              <w:bottom w:w="0" w:type="dxa"/>
              <w:right w:w="62" w:type="dxa"/>
            </w:tcMar>
          </w:tcPr>
          <w:p w:rsidR="00000000" w:rsidP="00C62F87">
            <w:pPr>
              <w:pStyle w:val="BodyText"/>
              <w:rPr>
                <w:lang w:val="en-NZ"/>
              </w:rPr>
            </w:pPr>
            <w:r w:rsidRPr="00C62F87">
              <w:t>Information up</w:t>
            </w:r>
            <w:r w:rsidRPr="00C62F87">
              <w:t>dates for personnel are organised to ensure their knowledge of roles and responsibilities for legal compliance</w:t>
            </w:r>
          </w:p>
        </w:tc>
      </w:tr>
      <w:tr w:rsidTr="00C62F8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C62F87" w:rsidP="00C62F87">
            <w:pPr>
              <w:pStyle w:val="BodyText"/>
            </w:pPr>
            <w:r w:rsidRPr="00C62F87">
              <w:rPr>
                <w:rStyle w:val="SpecialBold"/>
              </w:rPr>
              <w:t>3</w:t>
            </w:r>
          </w:p>
        </w:tc>
        <w:tc>
          <w:tcPr>
            <w:tcW w:w="2855" w:type="dxa"/>
            <w:tcBorders>
              <w:top w:val="nil"/>
              <w:left w:val="nil"/>
              <w:bottom w:val="nil"/>
              <w:right w:val="nil"/>
            </w:tcBorders>
            <w:tcMar>
              <w:top w:w="0" w:type="dxa"/>
              <w:left w:w="62" w:type="dxa"/>
              <w:bottom w:w="0" w:type="dxa"/>
              <w:right w:w="62" w:type="dxa"/>
            </w:tcMar>
          </w:tcPr>
          <w:p w:rsidR="00000000" w:rsidRPr="00C62F87" w:rsidP="00C62F87">
            <w:pPr>
              <w:pStyle w:val="BodyText"/>
            </w:pPr>
            <w:r w:rsidRPr="00C62F87">
              <w:rPr>
                <w:rStyle w:val="SpecialBold"/>
              </w:rPr>
              <w:t>Ensure compliance with legal</w:t>
            </w:r>
            <w:r w:rsidRPr="00C62F87">
              <w:t>/</w:t>
            </w:r>
            <w:r w:rsidRPr="00C62F87">
              <w:rPr>
                <w:rStyle w:val="SpecialBold"/>
              </w:rPr>
              <w:t>regulatory requirements</w:t>
            </w:r>
          </w:p>
        </w:tc>
        <w:tc>
          <w:tcPr>
            <w:tcW w:w="697" w:type="dxa"/>
            <w:tcBorders>
              <w:top w:val="nil"/>
              <w:left w:val="nil"/>
              <w:bottom w:val="nil"/>
              <w:right w:val="nil"/>
            </w:tcBorders>
            <w:tcMar>
              <w:top w:w="0" w:type="dxa"/>
              <w:left w:w="62" w:type="dxa"/>
              <w:bottom w:w="0" w:type="dxa"/>
              <w:right w:w="62" w:type="dxa"/>
            </w:tcMar>
          </w:tcPr>
          <w:p w:rsidR="00000000" w:rsidP="00C62F87">
            <w:pPr>
              <w:pStyle w:val="BodyText"/>
              <w:rPr>
                <w:lang w:val="en-NZ"/>
              </w:rPr>
            </w:pPr>
            <w:r w:rsidRPr="00C62F87">
              <w:rPr>
                <w:rStyle w:val="SpecialBold"/>
              </w:rPr>
              <w:t>3.1</w:t>
            </w:r>
          </w:p>
        </w:tc>
        <w:tc>
          <w:tcPr>
            <w:tcW w:w="5542" w:type="dxa"/>
            <w:tcBorders>
              <w:top w:val="nil"/>
              <w:left w:val="nil"/>
              <w:bottom w:val="nil"/>
              <w:right w:val="nil"/>
            </w:tcBorders>
            <w:tcMar>
              <w:top w:w="0" w:type="dxa"/>
              <w:left w:w="62" w:type="dxa"/>
              <w:bottom w:w="0" w:type="dxa"/>
              <w:right w:w="62" w:type="dxa"/>
            </w:tcMar>
          </w:tcPr>
          <w:p w:rsidR="00000000" w:rsidP="00C62F87">
            <w:pPr>
              <w:pStyle w:val="BodyText"/>
              <w:rPr>
                <w:lang w:val="en-NZ"/>
              </w:rPr>
            </w:pPr>
            <w:r w:rsidRPr="00C62F87">
              <w:t>Regulatory authorities are communicated with when planning business operations and submitting required documentation</w:t>
            </w:r>
          </w:p>
        </w:tc>
      </w:tr>
      <w:tr w:rsidTr="00C62F8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C62F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62F87">
            <w:pPr>
              <w:pStyle w:val="BodyText"/>
              <w:rPr>
                <w:lang w:val="en-NZ"/>
              </w:rPr>
            </w:pPr>
            <w:r w:rsidRPr="00C62F87">
              <w:rPr>
                <w:rStyle w:val="SpecialBold"/>
              </w:rPr>
              <w:t>3.2</w:t>
            </w:r>
          </w:p>
        </w:tc>
        <w:tc>
          <w:tcPr>
            <w:tcW w:w="5542" w:type="dxa"/>
            <w:tcBorders>
              <w:top w:val="nil"/>
              <w:left w:val="nil"/>
              <w:bottom w:val="nil"/>
              <w:right w:val="nil"/>
            </w:tcBorders>
            <w:tcMar>
              <w:top w:w="0" w:type="dxa"/>
              <w:left w:w="62" w:type="dxa"/>
              <w:bottom w:w="0" w:type="dxa"/>
              <w:right w:w="62" w:type="dxa"/>
            </w:tcMar>
          </w:tcPr>
          <w:p w:rsidR="00000000" w:rsidP="00C62F87">
            <w:pPr>
              <w:pStyle w:val="BodyText"/>
              <w:rPr>
                <w:lang w:val="en-NZ"/>
              </w:rPr>
            </w:pPr>
            <w:r w:rsidRPr="00C62F87">
              <w:t>Business and occupational licences are maintained and contractor and employee compliances are checked to avoid risk to business</w:t>
            </w:r>
          </w:p>
        </w:tc>
      </w:tr>
      <w:tr w:rsidTr="00C62F8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C62F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62F87">
            <w:pPr>
              <w:pStyle w:val="BodyText"/>
              <w:rPr>
                <w:lang w:val="en-NZ"/>
              </w:rPr>
            </w:pPr>
            <w:r w:rsidRPr="00C62F87">
              <w:rPr>
                <w:rStyle w:val="SpecialBold"/>
              </w:rPr>
              <w:t>3</w:t>
            </w:r>
            <w:r w:rsidRPr="00C62F87">
              <w:rPr>
                <w:rStyle w:val="SpecialBold"/>
              </w:rPr>
              <w:t>.3</w:t>
            </w:r>
          </w:p>
        </w:tc>
        <w:tc>
          <w:tcPr>
            <w:tcW w:w="5542" w:type="dxa"/>
            <w:tcBorders>
              <w:top w:val="nil"/>
              <w:left w:val="nil"/>
              <w:bottom w:val="nil"/>
              <w:right w:val="nil"/>
            </w:tcBorders>
            <w:tcMar>
              <w:top w:w="0" w:type="dxa"/>
              <w:left w:w="62" w:type="dxa"/>
              <w:bottom w:w="0" w:type="dxa"/>
              <w:right w:w="62" w:type="dxa"/>
            </w:tcMar>
          </w:tcPr>
          <w:p w:rsidR="00000000" w:rsidP="00C62F87">
            <w:pPr>
              <w:pStyle w:val="BodyText"/>
              <w:rPr>
                <w:lang w:val="en-NZ"/>
              </w:rPr>
            </w:pPr>
            <w:r w:rsidRPr="00C62F87">
              <w:t>Business operations are evaluated for non-compliance and modifications implemented</w:t>
            </w:r>
          </w:p>
        </w:tc>
      </w:tr>
      <w:tr w:rsidTr="00C62F8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C62F87" w:rsidP="00C62F87">
            <w:pPr>
              <w:pStyle w:val="BodyText"/>
            </w:pPr>
            <w:r w:rsidRPr="00C62F87">
              <w:rPr>
                <w:rStyle w:val="SpecialBold"/>
              </w:rPr>
              <w:t>4</w:t>
            </w:r>
          </w:p>
        </w:tc>
        <w:tc>
          <w:tcPr>
            <w:tcW w:w="2855" w:type="dxa"/>
            <w:tcBorders>
              <w:top w:val="nil"/>
              <w:left w:val="nil"/>
              <w:bottom w:val="nil"/>
              <w:right w:val="nil"/>
            </w:tcBorders>
            <w:tcMar>
              <w:top w:w="0" w:type="dxa"/>
              <w:left w:w="62" w:type="dxa"/>
              <w:bottom w:w="0" w:type="dxa"/>
              <w:right w:w="62" w:type="dxa"/>
            </w:tcMar>
          </w:tcPr>
          <w:p w:rsidR="00000000" w:rsidRPr="00C62F87" w:rsidP="00C62F87">
            <w:pPr>
              <w:pStyle w:val="BodyText"/>
            </w:pPr>
            <w:r w:rsidRPr="00C62F87">
              <w:rPr>
                <w:rStyle w:val="SpecialBold"/>
              </w:rPr>
              <w:t>Maintain personal and organisational knowledge of regulatory requirements</w:t>
            </w:r>
          </w:p>
        </w:tc>
        <w:tc>
          <w:tcPr>
            <w:tcW w:w="697" w:type="dxa"/>
            <w:tcBorders>
              <w:top w:val="nil"/>
              <w:left w:val="nil"/>
              <w:bottom w:val="nil"/>
              <w:right w:val="nil"/>
            </w:tcBorders>
            <w:tcMar>
              <w:top w:w="0" w:type="dxa"/>
              <w:left w:w="62" w:type="dxa"/>
              <w:bottom w:w="0" w:type="dxa"/>
              <w:right w:w="62" w:type="dxa"/>
            </w:tcMar>
          </w:tcPr>
          <w:p w:rsidR="00000000" w:rsidP="00C62F87">
            <w:pPr>
              <w:pStyle w:val="BodyText"/>
              <w:rPr>
                <w:lang w:val="en-NZ"/>
              </w:rPr>
            </w:pPr>
            <w:r w:rsidRPr="00C62F87">
              <w:rPr>
                <w:rStyle w:val="SpecialBold"/>
              </w:rPr>
              <w:t>4.1</w:t>
            </w:r>
          </w:p>
        </w:tc>
        <w:tc>
          <w:tcPr>
            <w:tcW w:w="5542" w:type="dxa"/>
            <w:tcBorders>
              <w:top w:val="nil"/>
              <w:left w:val="nil"/>
              <w:bottom w:val="nil"/>
              <w:right w:val="nil"/>
            </w:tcBorders>
            <w:tcMar>
              <w:top w:w="0" w:type="dxa"/>
              <w:left w:w="62" w:type="dxa"/>
              <w:bottom w:w="0" w:type="dxa"/>
              <w:right w:w="62" w:type="dxa"/>
            </w:tcMar>
          </w:tcPr>
          <w:p w:rsidR="00000000" w:rsidP="00C62F87">
            <w:pPr>
              <w:pStyle w:val="BodyText"/>
              <w:rPr>
                <w:lang w:val="en-NZ"/>
              </w:rPr>
            </w:pPr>
            <w:r w:rsidRPr="00C62F87">
              <w:t>A range of opportunities are identified and used to maintain knowledge of current regulat</w:t>
            </w:r>
            <w:r w:rsidRPr="00C62F87">
              <w:t>ory requirements</w:t>
            </w:r>
          </w:p>
        </w:tc>
      </w:tr>
      <w:tr w:rsidTr="00C62F8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C62F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62F87">
            <w:pPr>
              <w:pStyle w:val="BodyText"/>
              <w:rPr>
                <w:lang w:val="en-NZ"/>
              </w:rPr>
            </w:pPr>
            <w:r w:rsidRPr="00C62F87">
              <w:rPr>
                <w:rStyle w:val="SpecialBold"/>
              </w:rPr>
              <w:t>4.2</w:t>
            </w:r>
          </w:p>
        </w:tc>
        <w:tc>
          <w:tcPr>
            <w:tcW w:w="5542" w:type="dxa"/>
            <w:tcBorders>
              <w:top w:val="nil"/>
              <w:left w:val="nil"/>
              <w:bottom w:val="nil"/>
              <w:right w:val="nil"/>
            </w:tcBorders>
            <w:tcMar>
              <w:top w:w="0" w:type="dxa"/>
              <w:left w:w="62" w:type="dxa"/>
              <w:bottom w:w="0" w:type="dxa"/>
              <w:right w:w="62" w:type="dxa"/>
            </w:tcMar>
          </w:tcPr>
          <w:p w:rsidR="00000000" w:rsidP="00C62F87">
            <w:pPr>
              <w:pStyle w:val="BodyText"/>
              <w:rPr>
                <w:lang w:val="en-NZ"/>
              </w:rPr>
            </w:pPr>
            <w:r w:rsidRPr="00C62F87">
              <w:t>Organisational communication methods are used to share updated regulatory knowledge</w:t>
            </w:r>
          </w:p>
        </w:tc>
      </w:tr>
      <w:tr w:rsidTr="00C62F8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C62F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62F87">
            <w:pPr>
              <w:pStyle w:val="BodyText"/>
              <w:rPr>
                <w:lang w:val="en-NZ"/>
              </w:rPr>
            </w:pPr>
            <w:r w:rsidRPr="00C62F87">
              <w:rPr>
                <w:rStyle w:val="SpecialBold"/>
              </w:rPr>
              <w:t>4.3</w:t>
            </w:r>
          </w:p>
        </w:tc>
        <w:tc>
          <w:tcPr>
            <w:tcW w:w="5542" w:type="dxa"/>
            <w:tcBorders>
              <w:top w:val="nil"/>
              <w:left w:val="nil"/>
              <w:bottom w:val="nil"/>
              <w:right w:val="nil"/>
            </w:tcBorders>
            <w:tcMar>
              <w:top w:w="0" w:type="dxa"/>
              <w:left w:w="62" w:type="dxa"/>
              <w:bottom w:w="0" w:type="dxa"/>
              <w:right w:w="62" w:type="dxa"/>
            </w:tcMar>
          </w:tcPr>
          <w:p w:rsidR="00000000" w:rsidRPr="00C62F87" w:rsidP="00C62F87">
            <w:pPr>
              <w:pStyle w:val="BodyText"/>
            </w:pPr>
            <w:r w:rsidRPr="00C62F87">
              <w:t>Plans, policies and procedures are continuously reviewed and distributed for compliance with current laws and licensing requirements</w:t>
            </w:r>
          </w:p>
        </w:tc>
      </w:tr>
    </w:tbl>
    <w:p w:rsidR="00000000" w:rsidRPr="00C62F87" w:rsidP="00C62F87">
      <w:pPr>
        <w:pStyle w:val="NoPaddingFontSize1"/>
      </w:pPr>
    </w:p>
    <w:p w:rsidR="00000000" w:rsidRPr="00C62F87" w:rsidP="00C62F87">
      <w:pPr>
        <w:pStyle w:val="AllowPageBreak"/>
      </w:pPr>
    </w:p>
    <w:p w:rsidR="00000000" w:rsidRPr="00C62F87" w:rsidP="00C62F87">
      <w:pPr>
        <w:pStyle w:val="Heading1"/>
      </w:pPr>
      <w:bookmarkStart w:id="7" w:name="O_1241074"/>
      <w:bookmarkEnd w:id="7"/>
      <w:r w:rsidRPr="00C62F87">
        <w:t>Foundation Skills</w:t>
      </w:r>
    </w:p>
    <w:tbl>
      <w:tblPr>
        <w:tblW w:w="9497" w:type="dxa"/>
        <w:tblLayout w:type="fixed"/>
        <w:tblCellMar>
          <w:left w:w="62" w:type="dxa"/>
          <w:right w:w="62" w:type="dxa"/>
        </w:tblCellMar>
        <w:tblLook w:val="0000"/>
      </w:tblPr>
      <w:tblGrid>
        <w:gridCol w:w="9497"/>
      </w:tblGrid>
      <w:tr w:rsidTr="00C62F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2F87" w:rsidP="00C62F87">
            <w:pPr>
              <w:pStyle w:val="BodyText"/>
            </w:pPr>
            <w:r w:rsidRPr="00C62F87">
              <w:t>Foundation skills essential to performance are explicit in the performance criteria of this unit of competency.</w:t>
            </w:r>
          </w:p>
        </w:tc>
      </w:tr>
    </w:tbl>
    <w:p w:rsidR="00000000" w:rsidRPr="00C62F87" w:rsidP="00C62F87">
      <w:pPr>
        <w:pStyle w:val="NoPaddingFontSize1"/>
      </w:pPr>
    </w:p>
    <w:p w:rsidR="00000000" w:rsidRPr="00C62F87" w:rsidP="00C62F87">
      <w:pPr>
        <w:pStyle w:val="AllowPageBreak"/>
      </w:pPr>
    </w:p>
    <w:p w:rsidR="00000000" w:rsidRPr="00C62F87" w:rsidP="00C62F87">
      <w:pPr>
        <w:pStyle w:val="Heading1"/>
      </w:pPr>
      <w:bookmarkStart w:id="8" w:name="O_1241075"/>
      <w:bookmarkEnd w:id="8"/>
      <w:r w:rsidRPr="00C62F87">
        <w:t>Range of Conditions</w:t>
      </w:r>
    </w:p>
    <w:tbl>
      <w:tblPr>
        <w:tblW w:w="9497" w:type="dxa"/>
        <w:tblLayout w:type="fixed"/>
        <w:tblCellMar>
          <w:left w:w="62" w:type="dxa"/>
          <w:right w:w="62" w:type="dxa"/>
        </w:tblCellMar>
        <w:tblLook w:val="0000"/>
      </w:tblPr>
      <w:tblGrid>
        <w:gridCol w:w="9497"/>
      </w:tblGrid>
      <w:tr w:rsidTr="00C62F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2F87" w:rsidP="00C62F87">
            <w:pPr>
              <w:pStyle w:val="BodyText"/>
            </w:pPr>
            <w:r w:rsidRPr="00C62F87">
              <w:t>Range is restricted to essential operating conditions and any other variables essential to the work environment.</w:t>
            </w:r>
          </w:p>
          <w:p w:rsidR="00000000" w:rsidRPr="00C62F87" w:rsidP="00C62F87">
            <w:pPr>
              <w:pStyle w:val="BodyText"/>
            </w:pPr>
            <w:r w:rsidRPr="00C62F87">
              <w:t>Non-essential conditions may be found in the AVI Aviation Training Package Companion Volume Implementation Guide.</w:t>
            </w:r>
          </w:p>
        </w:tc>
      </w:tr>
    </w:tbl>
    <w:p w:rsidR="00000000" w:rsidRPr="00C62F87" w:rsidP="00C62F87">
      <w:pPr>
        <w:pStyle w:val="NoPaddingFontSize1"/>
      </w:pPr>
    </w:p>
    <w:p w:rsidR="00000000" w:rsidRPr="00C62F87" w:rsidP="00C62F87">
      <w:pPr>
        <w:pStyle w:val="AllowPageBreak"/>
      </w:pPr>
    </w:p>
    <w:p w:rsidR="00000000" w:rsidRPr="00C62F87" w:rsidP="00C62F87">
      <w:pPr>
        <w:pStyle w:val="Heading1"/>
      </w:pPr>
      <w:bookmarkStart w:id="9" w:name="O_1241076"/>
      <w:bookmarkEnd w:id="9"/>
      <w:r w:rsidRPr="00C62F87">
        <w:t>Unit Map</w:t>
      </w:r>
      <w:r w:rsidRPr="00C62F87">
        <w:t>ping Information</w:t>
      </w:r>
    </w:p>
    <w:tbl>
      <w:tblPr>
        <w:tblW w:w="9497" w:type="dxa"/>
        <w:tblLayout w:type="fixed"/>
        <w:tblCellMar>
          <w:left w:w="62" w:type="dxa"/>
          <w:right w:w="62" w:type="dxa"/>
        </w:tblCellMar>
        <w:tblLook w:val="0000"/>
      </w:tblPr>
      <w:tblGrid>
        <w:gridCol w:w="9497"/>
      </w:tblGrid>
      <w:tr w:rsidTr="00C62F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2F87" w:rsidP="00C62F87">
            <w:pPr>
              <w:pStyle w:val="BodyText"/>
            </w:pPr>
            <w:r w:rsidRPr="00C62F87">
              <w:t>This is a new unit. No equivalent unit.</w:t>
            </w:r>
          </w:p>
        </w:tc>
      </w:tr>
    </w:tbl>
    <w:p w:rsidR="00000000" w:rsidRPr="00C62F87" w:rsidP="00C62F87">
      <w:pPr>
        <w:pStyle w:val="NoPaddingFontSize1"/>
      </w:pPr>
    </w:p>
    <w:p w:rsidR="00000000" w:rsidRPr="00C62F87" w:rsidP="00C62F87">
      <w:pPr>
        <w:pStyle w:val="AllowPageBreak"/>
      </w:pPr>
    </w:p>
    <w:p w:rsidR="00000000" w:rsidRPr="00C62F87" w:rsidP="00C62F87">
      <w:pPr>
        <w:pStyle w:val="Heading1"/>
      </w:pPr>
      <w:bookmarkStart w:id="10" w:name="O_1241083"/>
      <w:bookmarkEnd w:id="10"/>
      <w:r w:rsidRPr="00C62F87">
        <w:t>Links</w:t>
      </w:r>
    </w:p>
    <w:p w:rsidR="00000000" w:rsidRPr="00C62F87" w:rsidP="00686E44">
      <w:pPr>
        <w:pStyle w:val="BodyText"/>
      </w:pPr>
      <w:r w:rsidRPr="00C62F87">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DF121B">
        <w:rPr>
          <w:rStyle w:val="Hyperlink"/>
        </w:rPr>
        <w:t>https://vetnet.gov.au/Pages/TrainingDocs.aspx?q=4725260a-0af3-4daf-912b-ef1c2f3e5816</w:t>
      </w:r>
      <w:r>
        <w:fldChar w:fldCharType="end"/>
      </w:r>
    </w:p>
    <w:p w:rsidR="00000000" w:rsidRPr="00C62F87" w:rsidP="00686E44">
      <w:pPr>
        <w:pStyle w:val="BodyText"/>
        <w:sectPr w:rsidSect="00C62F87">
          <w:headerReference w:type="default" r:id="rId10"/>
          <w:footerReference w:type="default" r:id="rId11"/>
          <w:pgSz w:w="11908" w:h="16833"/>
          <w:pgMar w:top="1702" w:right="1418" w:bottom="1702" w:left="1418" w:header="992" w:footer="992" w:gutter="0"/>
          <w:cols w:space="720"/>
          <w:noEndnote/>
          <w:docGrid w:linePitch="299"/>
        </w:sectPr>
      </w:pPr>
    </w:p>
    <w:p w:rsidR="00000000" w:rsidRPr="00C62F87" w:rsidP="00C62F87">
      <w:pPr>
        <w:pStyle w:val="SuperHeading"/>
      </w:pPr>
      <w:r w:rsidRPr="00C62F87">
        <w:t>Assessment Requirements for AVIG0004 Apply regulatory obligations</w:t>
      </w:r>
    </w:p>
    <w:p w:rsidR="00000000" w:rsidRPr="00C62F87" w:rsidP="00C62F87">
      <w:pPr>
        <w:pStyle w:val="Heading1"/>
      </w:pPr>
      <w:bookmarkStart w:id="11" w:name="O_1241078"/>
      <w:bookmarkEnd w:id="11"/>
      <w:r w:rsidRPr="00C62F87">
        <w:t>Modification History</w:t>
      </w:r>
    </w:p>
    <w:tbl>
      <w:tblPr>
        <w:tblW w:w="9497" w:type="dxa"/>
        <w:tblLayout w:type="fixed"/>
        <w:tblCellMar>
          <w:left w:w="62" w:type="dxa"/>
          <w:right w:w="62" w:type="dxa"/>
        </w:tblCellMar>
        <w:tblLook w:val="0000"/>
      </w:tblPr>
      <w:tblGrid>
        <w:gridCol w:w="9497"/>
      </w:tblGrid>
      <w:tr w:rsidTr="00C62F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2F87" w:rsidP="00C62F87">
            <w:pPr>
              <w:pStyle w:val="BodyText"/>
            </w:pPr>
            <w:r w:rsidRPr="00C62F87">
              <w:t>Release 1. This is the first release of this unit of competency in the AVI Aviation Training Package Release 10.</w:t>
            </w:r>
          </w:p>
        </w:tc>
      </w:tr>
    </w:tbl>
    <w:p w:rsidR="00000000" w:rsidRPr="00C62F87" w:rsidP="00C62F87">
      <w:pPr>
        <w:pStyle w:val="NoPaddingFontSize1"/>
      </w:pPr>
    </w:p>
    <w:p w:rsidR="00000000" w:rsidRPr="00C62F87" w:rsidP="00C62F87">
      <w:pPr>
        <w:pStyle w:val="AllowPageBreak"/>
      </w:pPr>
    </w:p>
    <w:p w:rsidR="00000000" w:rsidRPr="00C62F87" w:rsidP="00C62F87">
      <w:pPr>
        <w:pStyle w:val="Heading1"/>
      </w:pPr>
      <w:bookmarkStart w:id="12" w:name="O_1241079"/>
      <w:bookmarkEnd w:id="12"/>
      <w:r w:rsidRPr="00C62F87">
        <w:t>Performance Evidence</w:t>
      </w:r>
    </w:p>
    <w:tbl>
      <w:tblPr>
        <w:tblW w:w="9497" w:type="dxa"/>
        <w:tblLayout w:type="fixed"/>
        <w:tblCellMar>
          <w:left w:w="62" w:type="dxa"/>
          <w:right w:w="62" w:type="dxa"/>
        </w:tblCellMar>
        <w:tblLook w:val="0000"/>
      </w:tblPr>
      <w:tblGrid>
        <w:gridCol w:w="9497"/>
      </w:tblGrid>
      <w:tr w:rsidTr="00C62F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62F87">
            <w:pPr>
              <w:pStyle w:val="BodyText"/>
              <w:rPr>
                <w:lang w:val="en-NZ"/>
              </w:rPr>
            </w:pPr>
            <w:r w:rsidRPr="00C62F87">
              <w:t xml:space="preserve">Evidence required to demonstrate competence in this unit must be relevant to and satisfy all of the requirements of the elements and performance criteria on at least one occasion and include: </w:t>
            </w:r>
          </w:p>
        </w:tc>
      </w:tr>
      <w:tr w:rsidTr="00C62F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2F87" w:rsidP="00C62F87">
            <w:pPr>
              <w:pStyle w:val="ListBullet"/>
            </w:pPr>
            <w:r w:rsidRPr="00C62F87">
              <w:t>accessing and interpreting regu</w:t>
            </w:r>
            <w:r w:rsidRPr="00C62F87">
              <w:t>latory information and determining the scope of compliance for the operations of a specific industry area in relation to at least three different areas of compliance, including:</w:t>
            </w:r>
          </w:p>
          <w:p w:rsidR="00000000" w:rsidRPr="00C62F87" w:rsidP="00C62F87">
            <w:pPr>
              <w:pStyle w:val="ListBullet2"/>
            </w:pPr>
            <w:r w:rsidRPr="00C62F87">
              <w:t xml:space="preserve">Part 101 Manual of Standards </w:t>
            </w:r>
          </w:p>
          <w:p w:rsidR="00000000" w:rsidRPr="00C62F87" w:rsidP="00C62F87">
            <w:pPr>
              <w:pStyle w:val="ListBullet2"/>
            </w:pPr>
            <w:r w:rsidRPr="00C62F87">
              <w:t xml:space="preserve">relevant aviation legislation </w:t>
            </w:r>
          </w:p>
          <w:p w:rsidR="00000000" w:rsidRPr="00C62F87" w:rsidP="00C62F87">
            <w:pPr>
              <w:pStyle w:val="ListBullet2"/>
            </w:pPr>
            <w:r w:rsidRPr="00C62F87">
              <w:t>work health and safety (WHS)</w:t>
            </w:r>
          </w:p>
          <w:p w:rsidR="00000000" w:rsidRPr="00C62F87" w:rsidP="00C62F87">
            <w:pPr>
              <w:pStyle w:val="ListBullet"/>
            </w:pPr>
            <w:r w:rsidRPr="00C62F87">
              <w:t>developing policies and procedures for legal compliance with each of the above areas of compliance</w:t>
            </w:r>
          </w:p>
          <w:p w:rsidR="00000000" w:rsidRPr="00C62F87" w:rsidP="00C62F87">
            <w:pPr>
              <w:pStyle w:val="ListBullet"/>
            </w:pPr>
            <w:r w:rsidRPr="00C62F87">
              <w:t>developing a sample Operations Manual compliant with Part 101 Manual of Standards</w:t>
            </w:r>
          </w:p>
          <w:p w:rsidR="00000000" w:rsidRPr="00C62F87" w:rsidP="00C62F87">
            <w:pPr>
              <w:pStyle w:val="ListBullet"/>
            </w:pPr>
            <w:r w:rsidRPr="00C62F87">
              <w:t>handling and reporting accidents and incident</w:t>
            </w:r>
            <w:r w:rsidRPr="00C62F87">
              <w:t xml:space="preserve">s  </w:t>
            </w:r>
          </w:p>
          <w:p w:rsidR="00000000" w:rsidRPr="00C62F87" w:rsidP="00C62F87">
            <w:pPr>
              <w:pStyle w:val="ListBullet"/>
            </w:pPr>
            <w:r w:rsidRPr="00C62F87">
              <w:t>integrating planning activities and documentation into compliance, including:</w:t>
            </w:r>
          </w:p>
          <w:p w:rsidR="00000000" w:rsidRPr="00C62F87" w:rsidP="00C62F87">
            <w:pPr>
              <w:pStyle w:val="ListBullet2"/>
            </w:pPr>
            <w:r w:rsidRPr="00C62F87">
              <w:t>sources of detailed information and advice on regulatory compliance</w:t>
            </w:r>
          </w:p>
          <w:p w:rsidR="00000000" w:rsidRPr="00C62F87" w:rsidP="00C62F87">
            <w:pPr>
              <w:pStyle w:val="ListBullet2"/>
            </w:pPr>
            <w:r w:rsidRPr="00C62F87">
              <w:t>objectives and primary components of a broad range of local, state, territory and commonwealth government</w:t>
            </w:r>
            <w:r w:rsidRPr="00C62F87">
              <w:t xml:space="preserve"> laws relevant to the specific business operations</w:t>
            </w:r>
          </w:p>
          <w:p w:rsidR="00000000" w:rsidRPr="00C62F87" w:rsidP="00C62F87">
            <w:pPr>
              <w:pStyle w:val="ListBullet2"/>
            </w:pPr>
            <w:r w:rsidRPr="00C62F87">
              <w:t>use of policies and procedures in managing regulatory compliance.</w:t>
            </w:r>
          </w:p>
        </w:tc>
      </w:tr>
    </w:tbl>
    <w:p w:rsidR="00000000" w:rsidRPr="00C62F87" w:rsidP="00C62F87">
      <w:pPr>
        <w:pStyle w:val="NoPaddingFontSize1"/>
      </w:pPr>
    </w:p>
    <w:p w:rsidR="00000000" w:rsidRPr="00C62F87" w:rsidP="00C62F87">
      <w:pPr>
        <w:pStyle w:val="AllowPageBreak"/>
      </w:pPr>
    </w:p>
    <w:p w:rsidR="00000000" w:rsidRPr="00C62F87" w:rsidP="00C62F87">
      <w:pPr>
        <w:pStyle w:val="Heading1"/>
      </w:pPr>
      <w:bookmarkStart w:id="13" w:name="O_1241080"/>
      <w:bookmarkEnd w:id="13"/>
      <w:r w:rsidRPr="00C62F87">
        <w:t>Knowledge Evidence</w:t>
      </w:r>
    </w:p>
    <w:tbl>
      <w:tblPr>
        <w:tblW w:w="9497" w:type="dxa"/>
        <w:tblLayout w:type="fixed"/>
        <w:tblCellMar>
          <w:left w:w="62" w:type="dxa"/>
          <w:right w:w="62" w:type="dxa"/>
        </w:tblCellMar>
        <w:tblLook w:val="0000"/>
      </w:tblPr>
      <w:tblGrid>
        <w:gridCol w:w="9497"/>
      </w:tblGrid>
      <w:tr w:rsidTr="00C62F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62F87">
            <w:pPr>
              <w:pStyle w:val="BodyText"/>
              <w:rPr>
                <w:lang w:val="en-NZ"/>
              </w:rPr>
            </w:pPr>
            <w:r w:rsidRPr="00C62F87">
              <w:t>Evidence requi</w:t>
            </w:r>
            <w:r w:rsidRPr="00C62F87">
              <w:t xml:space="preserve">red to demonstrate competence in this unit must be relevant to and satisfy all of the requirements of the elements and performance criteria and include knowledge of: </w:t>
            </w:r>
          </w:p>
        </w:tc>
      </w:tr>
      <w:tr w:rsidTr="00C62F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2F87" w:rsidP="00C62F87">
            <w:pPr>
              <w:pStyle w:val="ListBullet"/>
            </w:pPr>
            <w:r w:rsidRPr="00C62F87">
              <w:t>legal responsibilities and liabilities of managers and directors in business structures</w:t>
            </w:r>
          </w:p>
          <w:p w:rsidR="00000000" w:rsidRPr="00C62F87" w:rsidP="00C62F87">
            <w:pPr>
              <w:pStyle w:val="ListBullet"/>
            </w:pPr>
            <w:r w:rsidRPr="00C62F87">
              <w:t>sources of information and advice on regulatory compliance</w:t>
            </w:r>
          </w:p>
          <w:p w:rsidR="00000000" w:rsidRPr="00C62F87" w:rsidP="00C62F87">
            <w:pPr>
              <w:pStyle w:val="ListBullet"/>
            </w:pPr>
            <w:r w:rsidRPr="00C62F87">
              <w:t>local, state, territory or commonwealth government departments or regulatory agencies</w:t>
            </w:r>
          </w:p>
          <w:p w:rsidR="00000000" w:rsidRPr="00C62F87" w:rsidP="00C62F87">
            <w:pPr>
              <w:pStyle w:val="ListBullet"/>
            </w:pPr>
            <w:r w:rsidRPr="00C62F87">
              <w:t>industry associations</w:t>
            </w:r>
          </w:p>
          <w:p w:rsidR="00000000" w:rsidRPr="00C62F87" w:rsidP="00C62F87">
            <w:pPr>
              <w:pStyle w:val="ListBullet"/>
            </w:pPr>
            <w:r w:rsidRPr="00C62F87">
              <w:t>plain English documentation that explains the operational requirements of legislation</w:t>
            </w:r>
          </w:p>
          <w:p w:rsidR="00000000" w:rsidRPr="00C62F87" w:rsidP="00C62F87">
            <w:pPr>
              <w:pStyle w:val="ListBullet"/>
            </w:pPr>
            <w:r w:rsidRPr="00C62F87">
              <w:t>co</w:t>
            </w:r>
            <w:r w:rsidRPr="00C62F87">
              <w:t>mputer data</w:t>
            </w:r>
          </w:p>
          <w:p w:rsidR="00000000" w:rsidRPr="00C62F87" w:rsidP="00C62F87">
            <w:pPr>
              <w:pStyle w:val="ListBullet"/>
            </w:pPr>
            <w:r w:rsidRPr="00C62F87">
              <w:t>Part 101 of the Civil Aviation Safety Regulations (CASR) and guidance material</w:t>
            </w:r>
          </w:p>
          <w:p w:rsidR="00000000" w:rsidRPr="00C62F87" w:rsidP="00C62F87">
            <w:pPr>
              <w:pStyle w:val="ListBullet"/>
            </w:pPr>
            <w:r w:rsidRPr="00C62F87">
              <w:t>discussions with experienced industry personnel</w:t>
            </w:r>
          </w:p>
          <w:p w:rsidR="00000000" w:rsidRPr="00C62F87" w:rsidP="00C62F87">
            <w:pPr>
              <w:pStyle w:val="ListBullet"/>
            </w:pPr>
            <w:r w:rsidRPr="00C62F87">
              <w:t>industry compliance sources which may include:</w:t>
            </w:r>
          </w:p>
          <w:p w:rsidR="00000000" w:rsidRPr="00C62F87" w:rsidP="00C62F87">
            <w:pPr>
              <w:pStyle w:val="ListBullet2"/>
            </w:pPr>
            <w:r w:rsidRPr="00C62F87">
              <w:t>regulator</w:t>
            </w:r>
          </w:p>
          <w:p w:rsidR="00000000" w:rsidRPr="00C62F87" w:rsidP="00C62F87">
            <w:pPr>
              <w:pStyle w:val="ListBullet2"/>
            </w:pPr>
            <w:r w:rsidRPr="00C62F87">
              <w:t>associations and organisations</w:t>
            </w:r>
          </w:p>
          <w:p w:rsidR="00000000" w:rsidRPr="00C62F87" w:rsidP="00C62F87">
            <w:pPr>
              <w:pStyle w:val="ListBullet2"/>
            </w:pPr>
            <w:r w:rsidRPr="00C62F87">
              <w:t>developers of codes of conduct or ethics</w:t>
            </w:r>
          </w:p>
          <w:p w:rsidR="00000000" w:rsidRPr="00C62F87" w:rsidP="00C62F87">
            <w:pPr>
              <w:pStyle w:val="ListBullet2"/>
            </w:pPr>
            <w:r w:rsidRPr="00C62F87">
              <w:t>journals</w:t>
            </w:r>
          </w:p>
          <w:p w:rsidR="00000000" w:rsidRPr="00C62F87" w:rsidP="00C62F87">
            <w:pPr>
              <w:pStyle w:val="ListBullet2"/>
            </w:pPr>
            <w:r w:rsidRPr="00C62F87">
              <w:t>seminars</w:t>
            </w:r>
          </w:p>
          <w:p w:rsidR="00000000" w:rsidRPr="00C62F87" w:rsidP="00C62F87">
            <w:pPr>
              <w:pStyle w:val="ListBullet2"/>
            </w:pPr>
            <w:r w:rsidRPr="00C62F87">
              <w:t>lawyers</w:t>
            </w:r>
          </w:p>
          <w:p w:rsidR="00000000" w:rsidRPr="00C62F87" w:rsidP="00C62F87">
            <w:pPr>
              <w:pStyle w:val="ListBullet"/>
            </w:pPr>
            <w:r w:rsidRPr="00C62F87">
              <w:t>networking with one or more of the following:</w:t>
            </w:r>
          </w:p>
          <w:p w:rsidR="00000000" w:rsidRPr="00C62F87" w:rsidP="00C62F87">
            <w:pPr>
              <w:pStyle w:val="ListBullet2"/>
            </w:pPr>
            <w:r w:rsidRPr="00C62F87">
              <w:t>colleagues</w:t>
            </w:r>
          </w:p>
          <w:p w:rsidR="00000000" w:rsidRPr="00C62F87" w:rsidP="00C62F87">
            <w:pPr>
              <w:pStyle w:val="ListBullet2"/>
            </w:pPr>
            <w:r w:rsidRPr="00C62F87">
              <w:t>suppliers</w:t>
            </w:r>
          </w:p>
          <w:p w:rsidR="00000000" w:rsidRPr="00C62F87" w:rsidP="00C62F87">
            <w:pPr>
              <w:pStyle w:val="ListBullet2"/>
            </w:pPr>
            <w:r w:rsidRPr="00C62F87">
              <w:t>libraries</w:t>
            </w:r>
          </w:p>
          <w:p w:rsidR="00000000" w:rsidRPr="00C62F87" w:rsidP="00C62F87">
            <w:pPr>
              <w:pStyle w:val="ListBullet2"/>
            </w:pPr>
            <w:r w:rsidRPr="00C62F87">
              <w:t>media</w:t>
            </w:r>
          </w:p>
          <w:p w:rsidR="00000000" w:rsidRPr="00C62F87" w:rsidP="00C62F87">
            <w:pPr>
              <w:pStyle w:val="ListBullet"/>
            </w:pPr>
            <w:r w:rsidRPr="00C62F87">
              <w:t>reference one or more of the following:</w:t>
            </w:r>
          </w:p>
          <w:p w:rsidR="00000000" w:rsidRPr="00C62F87" w:rsidP="00C62F87">
            <w:pPr>
              <w:pStyle w:val="ListBullet2"/>
            </w:pPr>
            <w:r w:rsidRPr="00C62F87">
              <w:t>personal observations and experience</w:t>
            </w:r>
          </w:p>
          <w:p w:rsidR="00000000" w:rsidRPr="00C62F87" w:rsidP="00C62F87">
            <w:pPr>
              <w:pStyle w:val="ListBullet2"/>
            </w:pPr>
            <w:r w:rsidRPr="00C62F87">
              <w:t>reference books</w:t>
            </w:r>
          </w:p>
          <w:p w:rsidR="00000000" w:rsidRPr="00C62F87" w:rsidP="00C62F87">
            <w:pPr>
              <w:pStyle w:val="ListBullet2"/>
            </w:pPr>
            <w:r w:rsidRPr="00C62F87">
              <w:t>training courses</w:t>
            </w:r>
          </w:p>
          <w:p w:rsidR="00000000" w:rsidRPr="00C62F87" w:rsidP="00C62F87">
            <w:pPr>
              <w:pStyle w:val="ListBullet2"/>
            </w:pPr>
            <w:r w:rsidRPr="00C62F87">
              <w:t>unions</w:t>
            </w:r>
          </w:p>
          <w:p w:rsidR="00000000" w:rsidRPr="00C62F87" w:rsidP="00C62F87">
            <w:pPr>
              <w:pStyle w:val="ListBullet"/>
            </w:pPr>
            <w:r w:rsidRPr="00C62F87">
              <w:t>functions and general operating procedures of regulatory authorities of particular relevance to industry</w:t>
            </w:r>
          </w:p>
          <w:p w:rsidR="00000000" w:rsidRPr="00C62F87" w:rsidP="00C62F87">
            <w:pPr>
              <w:pStyle w:val="ListBullet"/>
            </w:pPr>
            <w:r w:rsidRPr="00C62F87">
              <w:t>methods of receiving updated information on laws and licensing requirements</w:t>
            </w:r>
          </w:p>
          <w:p w:rsidR="00000000" w:rsidRPr="00C62F87" w:rsidP="00C62F87">
            <w:pPr>
              <w:pStyle w:val="ListBullet"/>
            </w:pPr>
            <w:r w:rsidRPr="00C62F87">
              <w:t>use of policies and procedures in managing regulat</w:t>
            </w:r>
            <w:r w:rsidRPr="00C62F87">
              <w:t>ory compliance</w:t>
            </w:r>
          </w:p>
          <w:p w:rsidR="00000000" w:rsidRPr="00C62F87" w:rsidP="00C62F87">
            <w:pPr>
              <w:pStyle w:val="ListBullet"/>
            </w:pPr>
            <w:r w:rsidRPr="00C62F87">
              <w:t>formats for and inclusions in policies and procedures</w:t>
            </w:r>
          </w:p>
          <w:p w:rsidR="00000000" w:rsidRPr="00C62F87" w:rsidP="00C62F87">
            <w:pPr>
              <w:pStyle w:val="ListBullet"/>
            </w:pPr>
            <w:r w:rsidRPr="00C62F87">
              <w:t>workplace relations</w:t>
            </w:r>
          </w:p>
          <w:p w:rsidR="00000000" w:rsidRPr="00C62F87" w:rsidP="00C62F87">
            <w:pPr>
              <w:pStyle w:val="ListBullet"/>
            </w:pPr>
            <w:r w:rsidRPr="00C62F87">
              <w:t>public liability and duty of care</w:t>
            </w:r>
          </w:p>
          <w:p w:rsidR="00000000" w:rsidRPr="00C62F87" w:rsidP="00C62F87">
            <w:pPr>
              <w:pStyle w:val="ListBullet"/>
            </w:pPr>
            <w:r w:rsidRPr="00C62F87">
              <w:t>Damage by Aircraft Act 1999 or equivalent</w:t>
            </w:r>
          </w:p>
          <w:p w:rsidR="00000000" w:rsidRPr="00C62F87" w:rsidP="00C62F87">
            <w:pPr>
              <w:pStyle w:val="ListBullet"/>
            </w:pPr>
            <w:r w:rsidRPr="00C62F87">
              <w:t>WHS requirements</w:t>
            </w:r>
          </w:p>
          <w:p w:rsidR="00000000" w:rsidRPr="00C62F87" w:rsidP="00C62F87">
            <w:pPr>
              <w:pStyle w:val="ListBullet"/>
            </w:pPr>
            <w:r w:rsidRPr="00C62F87">
              <w:t>relevant laws, codes, standards and licensing requirements, including:</w:t>
            </w:r>
          </w:p>
          <w:p w:rsidR="00000000" w:rsidRPr="00C62F87" w:rsidP="00C62F87">
            <w:pPr>
              <w:pStyle w:val="ListBullet2"/>
            </w:pPr>
            <w:r w:rsidRPr="00C62F87">
              <w:t>key practices that are prohibited by the law</w:t>
            </w:r>
          </w:p>
          <w:p w:rsidR="00000000" w:rsidRPr="00C62F87" w:rsidP="00C62F87">
            <w:pPr>
              <w:pStyle w:val="ListBullet2"/>
            </w:pPr>
            <w:r w:rsidRPr="00C62F87">
              <w:t>auditing and inspection regimes</w:t>
            </w:r>
          </w:p>
          <w:p w:rsidR="00000000" w:rsidRPr="00C62F87" w:rsidP="00C62F87">
            <w:pPr>
              <w:pStyle w:val="ListBullet2"/>
            </w:pPr>
            <w:r w:rsidRPr="00C62F87">
              <w:t>main consequences of non-compliance</w:t>
            </w:r>
          </w:p>
          <w:p w:rsidR="00000000" w:rsidRPr="00C62F87" w:rsidP="00C62F87">
            <w:pPr>
              <w:pStyle w:val="ListBullet"/>
            </w:pPr>
            <w:r w:rsidRPr="00C62F87">
              <w:t>need to apply for and maintain business or occupational licensing and associated mandatory training and certification requirements</w:t>
            </w:r>
          </w:p>
          <w:p w:rsidR="00000000" w:rsidRPr="00C62F87" w:rsidP="00C62F87">
            <w:pPr>
              <w:pStyle w:val="ListBullet"/>
            </w:pPr>
            <w:r w:rsidRPr="00C62F87">
              <w:t>requirement</w:t>
            </w:r>
            <w:r w:rsidRPr="00C62F87">
              <w:t>s for record keeping and acceptable record keeping mechanisms</w:t>
            </w:r>
          </w:p>
          <w:p w:rsidR="00000000" w:rsidRPr="00C62F87" w:rsidP="00C62F87">
            <w:pPr>
              <w:pStyle w:val="ListBullet"/>
            </w:pPr>
            <w:r w:rsidRPr="00C62F87">
              <w:t>statutory reporting requirements for businesses</w:t>
            </w:r>
          </w:p>
          <w:p w:rsidR="00000000" w:rsidRPr="00C62F87" w:rsidP="00C62F87">
            <w:pPr>
              <w:pStyle w:val="ListBullet"/>
            </w:pPr>
            <w:r w:rsidRPr="00C62F87">
              <w:t>adherence to mandatory codes of conduct enshrined in legislation</w:t>
            </w:r>
          </w:p>
          <w:p w:rsidR="00000000" w:rsidRPr="00C62F87" w:rsidP="00C62F87">
            <w:pPr>
              <w:pStyle w:val="ListBullet"/>
            </w:pPr>
            <w:r w:rsidRPr="00C62F87">
              <w:t>requirements to develop and implement plans, policies, codes of conduct or incorp</w:t>
            </w:r>
            <w:r w:rsidRPr="00C62F87">
              <w:t xml:space="preserve">orate certain business practices </w:t>
            </w:r>
          </w:p>
          <w:p w:rsidR="00000000" w:rsidRPr="00C62F87" w:rsidP="00C62F87">
            <w:pPr>
              <w:pStyle w:val="ListBullet"/>
            </w:pPr>
            <w:r w:rsidRPr="00C62F87">
              <w:t>rights and responsibilities of employees and employers</w:t>
            </w:r>
          </w:p>
          <w:p w:rsidR="00000000" w:rsidRPr="00C62F87" w:rsidP="00C62F87">
            <w:pPr>
              <w:pStyle w:val="ListBullet"/>
            </w:pPr>
            <w:r w:rsidRPr="00C62F87">
              <w:t>other specific actions that must be taken for legal compliance</w:t>
            </w:r>
          </w:p>
          <w:p w:rsidR="00000000" w:rsidRPr="00C62F87" w:rsidP="00C62F87">
            <w:pPr>
              <w:pStyle w:val="ListBullet"/>
            </w:pPr>
            <w:r w:rsidRPr="00C62F87">
              <w:t>opportunities to maintain knowledge of regulatory requirements, including:</w:t>
            </w:r>
          </w:p>
          <w:p w:rsidR="00000000" w:rsidRPr="00C62F87" w:rsidP="00C62F87">
            <w:pPr>
              <w:pStyle w:val="ListBullet2"/>
            </w:pPr>
            <w:r w:rsidRPr="00C62F87">
              <w:t>discussions with experienced industry personnel</w:t>
            </w:r>
          </w:p>
          <w:p w:rsidR="00000000" w:rsidRPr="00C62F87" w:rsidP="00C62F87">
            <w:pPr>
              <w:pStyle w:val="ListBullet2"/>
            </w:pPr>
            <w:r w:rsidRPr="00C62F87">
              <w:t>networking with colleagues and/or suppliers</w:t>
            </w:r>
          </w:p>
          <w:p w:rsidR="00000000" w:rsidRPr="00C62F87" w:rsidP="00C62F87">
            <w:pPr>
              <w:pStyle w:val="ListBullet2"/>
            </w:pPr>
            <w:r w:rsidRPr="00C62F87">
              <w:t>participating in industry accreditation schemes</w:t>
            </w:r>
          </w:p>
          <w:p w:rsidR="00000000" w:rsidRPr="00C62F87" w:rsidP="00C62F87">
            <w:pPr>
              <w:pStyle w:val="ListBullet2"/>
            </w:pPr>
            <w:r w:rsidRPr="00C62F87">
              <w:t>participating in industry seminars</w:t>
            </w:r>
          </w:p>
          <w:p w:rsidR="00000000" w:rsidRPr="00C62F87" w:rsidP="00C62F87">
            <w:pPr>
              <w:pStyle w:val="ListBullet2"/>
            </w:pPr>
            <w:r w:rsidRPr="00C62F87">
              <w:t>membership of professional industry associations</w:t>
            </w:r>
          </w:p>
          <w:p w:rsidR="00000000" w:rsidRPr="00C62F87" w:rsidP="00C62F87">
            <w:pPr>
              <w:pStyle w:val="ListBullet2"/>
            </w:pPr>
            <w:r w:rsidRPr="00C62F87">
              <w:t>participating in training course</w:t>
            </w:r>
            <w:r w:rsidRPr="00C62F87">
              <w:t>s</w:t>
            </w:r>
          </w:p>
          <w:p w:rsidR="00000000" w:rsidRPr="00C62F87" w:rsidP="00C62F87">
            <w:pPr>
              <w:pStyle w:val="ListBullet2"/>
            </w:pPr>
            <w:r w:rsidRPr="00C62F87">
              <w:t>subscribing to regulatory newsletters.</w:t>
            </w:r>
          </w:p>
        </w:tc>
      </w:tr>
    </w:tbl>
    <w:p w:rsidR="00000000" w:rsidRPr="00C62F87" w:rsidP="00C62F87">
      <w:pPr>
        <w:pStyle w:val="NoPaddingFontSize1"/>
      </w:pPr>
    </w:p>
    <w:p w:rsidR="00000000" w:rsidRPr="00C62F87" w:rsidP="00C62F87">
      <w:pPr>
        <w:pStyle w:val="AllowPageBreak"/>
      </w:pPr>
    </w:p>
    <w:p w:rsidR="00000000" w:rsidRPr="00C62F87" w:rsidP="00C62F87">
      <w:pPr>
        <w:pStyle w:val="Heading1"/>
      </w:pPr>
      <w:bookmarkStart w:id="14" w:name="O_1241081"/>
      <w:bookmarkEnd w:id="14"/>
      <w:r w:rsidRPr="00C62F87">
        <w:t>Assessment Conditions</w:t>
      </w:r>
    </w:p>
    <w:tbl>
      <w:tblPr>
        <w:tblW w:w="9497" w:type="dxa"/>
        <w:tblLayout w:type="fixed"/>
        <w:tblCellMar>
          <w:left w:w="62" w:type="dxa"/>
          <w:right w:w="62" w:type="dxa"/>
        </w:tblCellMar>
        <w:tblLook w:val="0000"/>
      </w:tblPr>
      <w:tblGrid>
        <w:gridCol w:w="9497"/>
      </w:tblGrid>
      <w:tr w:rsidTr="00C62F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2F87" w:rsidP="00C62F87">
            <w:pPr>
              <w:pStyle w:val="BodyText"/>
            </w:pPr>
            <w:r w:rsidRPr="00C62F87">
              <w:t>Assessors must hold credentials specified within the Standards for Registered Training Organisations current at the time of assessment.</w:t>
            </w:r>
          </w:p>
          <w:p w:rsidR="00000000" w:rsidRPr="00C62F87" w:rsidP="00C62F87">
            <w:pPr>
              <w:pStyle w:val="BodyText"/>
            </w:pPr>
            <w:r w:rsidRPr="00C62F87">
              <w:t>Assessment must satisfy the Principles of Assessment and Rules of Evidence and all regulatory requirements included within the Standards for Registered Training Organisations current at the time of assessment.</w:t>
            </w:r>
          </w:p>
          <w:p w:rsidR="00000000" w:rsidRPr="00C62F87" w:rsidP="00C62F87">
            <w:pPr>
              <w:pStyle w:val="BodyText"/>
            </w:pPr>
            <w:r w:rsidRPr="00C62F87">
              <w:t>Assessment must occur in workplace operational</w:t>
            </w:r>
            <w:r w:rsidRPr="00C62F87">
              <w:t xml:space="preserve"> situations. Where this is not appropriate, assessment must occur in simulated workplace operational situations that reflect workplace conditions.</w:t>
            </w:r>
          </w:p>
          <w:p w:rsidR="00000000" w:rsidRPr="00C62F87" w:rsidP="00C62F87">
            <w:pPr>
              <w:pStyle w:val="BodyText"/>
            </w:pPr>
            <w:r w:rsidRPr="00C62F87">
              <w:t>Assessment processes and techniques must be appropriate to the language, literacy and numeracy requirements o</w:t>
            </w:r>
            <w:r w:rsidRPr="00C62F87">
              <w:t>f the work being performed and the needs of the candidate.</w:t>
            </w:r>
          </w:p>
          <w:p w:rsidR="00000000" w:rsidRPr="00C62F87" w:rsidP="00C62F87">
            <w:pPr>
              <w:pStyle w:val="BodyText"/>
            </w:pPr>
            <w:r w:rsidRPr="00C62F87">
              <w:t>Resources for assessment must include access to:</w:t>
            </w:r>
          </w:p>
          <w:p w:rsidR="00000000" w:rsidRPr="00C62F87" w:rsidP="00C62F87">
            <w:pPr>
              <w:pStyle w:val="ListBullet"/>
            </w:pPr>
            <w:r w:rsidRPr="00C62F87">
              <w:t>a range of relevant exercises, case studies and/or simulations</w:t>
            </w:r>
          </w:p>
          <w:p w:rsidR="00000000" w:rsidRPr="00C62F87" w:rsidP="00C62F87">
            <w:pPr>
              <w:pStyle w:val="ListBullet"/>
            </w:pPr>
            <w:r w:rsidRPr="00C62F87">
              <w:t>acceptable means of simulation assessment</w:t>
            </w:r>
          </w:p>
          <w:p w:rsidR="00000000" w:rsidRPr="00C62F87" w:rsidP="00C62F87">
            <w:pPr>
              <w:pStyle w:val="ListBullet"/>
            </w:pPr>
            <w:r w:rsidRPr="00C62F87">
              <w:t>applicable documentation, including workpl</w:t>
            </w:r>
            <w:r w:rsidRPr="00C62F87">
              <w:t>ace procedures, regulations, codes of practice and operation manuals</w:t>
            </w:r>
          </w:p>
          <w:p w:rsidR="00000000" w:rsidRPr="00C62F87" w:rsidP="00C62F87">
            <w:pPr>
              <w:pStyle w:val="ListBullet"/>
            </w:pPr>
            <w:r w:rsidRPr="00C62F87">
              <w:t>relevant materials, tools, equipment and personal protective equipment (PPE) currently used in industry.</w:t>
            </w:r>
          </w:p>
        </w:tc>
      </w:tr>
    </w:tbl>
    <w:p w:rsidR="00000000" w:rsidRPr="00C62F87" w:rsidP="00C62F87">
      <w:pPr>
        <w:pStyle w:val="NoPaddingFontSize1"/>
      </w:pPr>
    </w:p>
    <w:p w:rsidR="00000000" w:rsidRPr="00C62F87" w:rsidP="00C62F87">
      <w:pPr>
        <w:pStyle w:val="AllowPageBreak"/>
      </w:pPr>
    </w:p>
    <w:p w:rsidR="00000000" w:rsidRPr="00C62F87" w:rsidP="00C62F87">
      <w:pPr>
        <w:pStyle w:val="Heading1"/>
      </w:pPr>
      <w:bookmarkStart w:id="15" w:name="O_1241084"/>
      <w:bookmarkEnd w:id="15"/>
      <w:r w:rsidRPr="00C62F87">
        <w:t>Links</w:t>
      </w:r>
    </w:p>
    <w:p w:rsidR="00000000" w:rsidRPr="00C62F87" w:rsidP="00686E44">
      <w:pPr>
        <w:pStyle w:val="BodyText"/>
      </w:pPr>
      <w:r w:rsidRPr="00C62F87">
        <w:t>Companion Volume Implementation Guides are found i</w:t>
      </w:r>
      <w:r w:rsidRPr="00C62F87">
        <w:t xml:space="preserve">n VETNet’ - </w:t>
      </w:r>
      <w:r>
        <w:fldChar w:fldCharType="begin"/>
      </w:r>
      <w:r>
        <w:instrText xml:space="preserve"> HYPERLINK "https://vetnet.gov.au/Pages/TrainingDocs.aspx?q=4725260a-0af3-4daf-912b-ef1c2f3e5816" </w:instrText>
      </w:r>
      <w:r>
        <w:fldChar w:fldCharType="separate"/>
      </w:r>
      <w:r w:rsidRPr="00DF121B">
        <w:rPr>
          <w:rStyle w:val="Hyperlink"/>
        </w:rPr>
        <w:t>https://vetnet.gov.au/Pages/TrainingDocs.aspx?q=4725260a-0af3-4daf-912b-ef1c2f3e5816</w:t>
      </w:r>
      <w:r>
        <w:fldChar w:fldCharType="end"/>
      </w:r>
    </w:p>
    <w:p w:rsidR="00000000" w:rsidRPr="00C62F87" w:rsidP="00C62F87"/>
    <w:sectPr w:rsidSect="00C62F8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F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F87" w:rsidRPr="00686E44" w:rsidP="00686E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F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E44" w:rsidP="00C62F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86E44" w:rsidP="00C62F8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86E44" w:rsidP="00C62F8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F87" w:rsidP="00C62F87">
    <w:pPr>
      <w:pStyle w:val="Footer"/>
      <w:framePr w:wrap="around"/>
    </w:pPr>
    <w:r>
      <w:fldChar w:fldCharType="begin"/>
    </w:r>
    <w:r>
      <w:instrText xml:space="preserve"> DOCPROPERTY  Subject  \* MERGEFORMAT </w:instrText>
    </w:r>
    <w:r>
      <w:fldChar w:fldCharType="separate"/>
    </w:r>
    <w:r w:rsidR="00686E44">
      <w:t>Approved</w:t>
    </w:r>
    <w:r w:rsidR="00686E44">
      <w:fldChar w:fldCharType="end"/>
    </w:r>
    <w:r>
      <w:tab/>
      <w:t xml:space="preserve">Page </w:t>
    </w:r>
    <w:r>
      <w:fldChar w:fldCharType="begin"/>
    </w:r>
    <w:r>
      <w:instrText xml:space="preserve"> PAGE  \* Arabic  \* MERGEFORMAT </w:instrText>
    </w:r>
    <w:r>
      <w:fldChar w:fldCharType="separate"/>
    </w:r>
    <w:r w:rsidR="00686E4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86E44">
      <w:rPr>
        <w:noProof/>
      </w:rPr>
      <w:t>5</w:t>
    </w:r>
    <w:r>
      <w:rPr>
        <w:noProof/>
      </w:rPr>
      <w:fldChar w:fldCharType="end"/>
    </w:r>
  </w:p>
  <w:p w:rsidR="00C62F87" w:rsidP="00C62F87">
    <w:pPr>
      <w:pStyle w:val="Footer"/>
      <w:framePr w:wrap="around"/>
    </w:pPr>
    <w:r>
      <w:t xml:space="preserve">© Commonwealth of Australia, </w:t>
    </w:r>
    <w:r>
      <w:fldChar w:fldCharType="begin"/>
    </w:r>
    <w:r>
      <w:instrText xml:space="preserve"> DATE  \@ "yyyy"  \* MERGEFORMAT </w:instrText>
    </w:r>
    <w:r>
      <w:fldChar w:fldCharType="separate"/>
    </w:r>
    <w:r w:rsidR="00686E44">
      <w:rPr>
        <w:noProof/>
      </w:rPr>
      <w:t>2025</w:t>
    </w:r>
    <w:r>
      <w:fldChar w:fldCharType="end"/>
    </w:r>
    <w:r>
      <w:tab/>
    </w:r>
    <w:r>
      <w:fldChar w:fldCharType="begin"/>
    </w:r>
    <w:r>
      <w:instrText xml:space="preserve"> DOCPROPERTY  Author  \* MERGEFORMAT </w:instrText>
    </w:r>
    <w:r>
      <w:fldChar w:fldCharType="separate"/>
    </w:r>
    <w:r w:rsidR="00686E44">
      <w:t>Industry Skills Australia</w:t>
    </w:r>
    <w:r w:rsidR="00686E44">
      <w:fldChar w:fldCharType="end"/>
    </w:r>
  </w:p>
  <w:p w:rsidR="00C62F87" w:rsidP="00C62F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F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E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2F87" w:rsidRPr="00686E44" w:rsidP="00686E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F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E44" w:rsidRPr="002D2AF8" w:rsidP="00C62F87">
    <w:pPr>
      <w:pStyle w:val="Header"/>
      <w:framePr w:wrap="around"/>
    </w:pPr>
    <w:r>
      <w:fldChar w:fldCharType="begin"/>
    </w:r>
    <w:r>
      <w:instrText xml:space="preserve"> TITLE   \* MERGEFORMAT </w:instrText>
    </w:r>
    <w:r>
      <w:fldChar w:fldCharType="separate"/>
    </w:r>
    <w:r>
      <w:t>AVIG0004 Apply regulatory obligations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86E44" w:rsidP="00C62F8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F87" w:rsidRPr="002D2AF8" w:rsidP="00C62F87">
    <w:pPr>
      <w:pStyle w:val="Header"/>
      <w:framePr w:wrap="around"/>
    </w:pPr>
    <w:r>
      <w:fldChar w:fldCharType="begin"/>
    </w:r>
    <w:r>
      <w:instrText xml:space="preserve"> TITLE   \* MERGEFORMAT </w:instrText>
    </w:r>
    <w:r>
      <w:fldChar w:fldCharType="separate"/>
    </w:r>
    <w:r w:rsidR="00686E44">
      <w:t>AVIG0004 Apply regulatory obligations</w:t>
    </w:r>
    <w:r w:rsidR="00686E44">
      <w:fldChar w:fldCharType="end"/>
    </w:r>
    <w:r>
      <w:tab/>
      <w:t xml:space="preserve">Date this document was generated: </w:t>
    </w:r>
    <w:r>
      <w:fldChar w:fldCharType="begin"/>
    </w:r>
    <w:r>
      <w:instrText xml:space="preserve"> CREATEDATE  \@ "d MMMM yyyy"  \* MERGEFORMAT </w:instrText>
    </w:r>
    <w:r>
      <w:fldChar w:fldCharType="separate"/>
    </w:r>
    <w:r w:rsidR="00686E44">
      <w:rPr>
        <w:noProof/>
      </w:rPr>
      <w:t>2 March 2025</w:t>
    </w:r>
    <w:r>
      <w:fldChar w:fldCharType="end"/>
    </w:r>
  </w:p>
  <w:p w:rsidR="00C62F87" w:rsidP="00C62F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EC69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0699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A8C3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2F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2F87"/>
    <w:pPr>
      <w:spacing w:before="360" w:after="60"/>
      <w:outlineLvl w:val="0"/>
    </w:pPr>
    <w:rPr>
      <w:sz w:val="32"/>
    </w:rPr>
  </w:style>
  <w:style w:type="paragraph" w:styleId="Heading2">
    <w:name w:val="heading 2"/>
    <w:basedOn w:val="HeadingBase"/>
    <w:next w:val="BodyText"/>
    <w:link w:val="Heading2Char"/>
    <w:qFormat/>
    <w:rsid w:val="00C62F87"/>
    <w:pPr>
      <w:keepLines/>
      <w:spacing w:before="240" w:after="120"/>
      <w:outlineLvl w:val="1"/>
    </w:pPr>
    <w:rPr>
      <w:sz w:val="28"/>
      <w:szCs w:val="40"/>
    </w:rPr>
  </w:style>
  <w:style w:type="paragraph" w:styleId="Heading3">
    <w:name w:val="heading 3"/>
    <w:basedOn w:val="HeadingBase"/>
    <w:next w:val="BodyText"/>
    <w:link w:val="Heading3Char"/>
    <w:qFormat/>
    <w:rsid w:val="00C62F87"/>
    <w:pPr>
      <w:spacing w:before="180" w:after="120"/>
      <w:outlineLvl w:val="2"/>
    </w:pPr>
    <w:rPr>
      <w:spacing w:val="-10"/>
      <w:kern w:val="32"/>
    </w:rPr>
  </w:style>
  <w:style w:type="paragraph" w:styleId="Heading4">
    <w:name w:val="heading 4"/>
    <w:basedOn w:val="HeadingBase"/>
    <w:next w:val="BodyText"/>
    <w:link w:val="Heading4Char"/>
    <w:qFormat/>
    <w:rsid w:val="00C62F87"/>
    <w:pPr>
      <w:spacing w:before="160" w:after="120"/>
      <w:outlineLvl w:val="3"/>
    </w:pPr>
    <w:rPr>
      <w:sz w:val="22"/>
    </w:rPr>
  </w:style>
  <w:style w:type="paragraph" w:styleId="Heading5">
    <w:name w:val="heading 5"/>
    <w:basedOn w:val="HeadingBase"/>
    <w:next w:val="Normal"/>
    <w:link w:val="Heading5Char"/>
    <w:qFormat/>
    <w:rsid w:val="00C62F87"/>
    <w:pPr>
      <w:spacing w:before="80"/>
      <w:outlineLvl w:val="4"/>
    </w:pPr>
    <w:rPr>
      <w:color w:val="918585"/>
      <w:sz w:val="20"/>
    </w:rPr>
  </w:style>
  <w:style w:type="paragraph" w:styleId="Heading6">
    <w:name w:val="heading 6"/>
    <w:basedOn w:val="HeadingBase"/>
    <w:next w:val="Normal"/>
    <w:link w:val="Heading6Char"/>
    <w:qFormat/>
    <w:rsid w:val="00C62F87"/>
    <w:pPr>
      <w:spacing w:before="60"/>
      <w:outlineLvl w:val="5"/>
    </w:pPr>
    <w:rPr>
      <w:color w:val="918585"/>
      <w:sz w:val="20"/>
    </w:rPr>
  </w:style>
  <w:style w:type="paragraph" w:styleId="Heading7">
    <w:name w:val="heading 7"/>
    <w:basedOn w:val="Normal"/>
    <w:next w:val="Normal"/>
    <w:link w:val="Heading7Char"/>
    <w:qFormat/>
    <w:rsid w:val="00C62F87"/>
    <w:pPr>
      <w:ind w:left="720"/>
      <w:outlineLvl w:val="6"/>
    </w:pPr>
    <w:rPr>
      <w:i/>
    </w:rPr>
  </w:style>
  <w:style w:type="paragraph" w:styleId="Heading8">
    <w:name w:val="heading 8"/>
    <w:basedOn w:val="Normal"/>
    <w:next w:val="Normal"/>
    <w:link w:val="Heading8Char"/>
    <w:qFormat/>
    <w:rsid w:val="00C62F87"/>
    <w:pPr>
      <w:ind w:left="720"/>
      <w:outlineLvl w:val="7"/>
    </w:pPr>
    <w:rPr>
      <w:i/>
    </w:rPr>
  </w:style>
  <w:style w:type="paragraph" w:styleId="Heading9">
    <w:name w:val="heading 9"/>
    <w:basedOn w:val="Normal"/>
    <w:next w:val="Normal"/>
    <w:link w:val="Heading9Char"/>
    <w:qFormat/>
    <w:rsid w:val="00C62F87"/>
    <w:pPr>
      <w:ind w:left="720"/>
      <w:outlineLvl w:val="8"/>
    </w:pPr>
    <w:rPr>
      <w:i/>
    </w:rPr>
  </w:style>
  <w:style w:type="character" w:default="1" w:styleId="DefaultParagraphFont">
    <w:name w:val="Default Paragraph Font"/>
    <w:uiPriority w:val="1"/>
    <w:unhideWhenUsed/>
    <w:rsid w:val="00C62F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2F87"/>
  </w:style>
  <w:style w:type="character" w:customStyle="1" w:styleId="Heading1Char">
    <w:name w:val="Heading 1 Char"/>
    <w:basedOn w:val="DefaultParagraphFont"/>
    <w:link w:val="Heading1"/>
    <w:rsid w:val="00C62F87"/>
    <w:rPr>
      <w:rFonts w:ascii="Times New Roman" w:eastAsia="Times New Roman" w:hAnsi="Times New Roman" w:cs="Times New Roman"/>
      <w:b/>
      <w:sz w:val="32"/>
      <w:szCs w:val="20"/>
      <w:lang w:eastAsia="en-US"/>
    </w:rPr>
  </w:style>
  <w:style w:type="paragraph" w:styleId="BodyText">
    <w:name w:val="Body Text"/>
    <w:basedOn w:val="Normal"/>
    <w:link w:val="BodyTextChar"/>
    <w:rsid w:val="00C62F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2F87"/>
    <w:rPr>
      <w:rFonts w:ascii="Times New Roman" w:eastAsia="Times New Roman" w:hAnsi="Times New Roman" w:cs="Times New Roman"/>
      <w:sz w:val="24"/>
      <w:lang w:eastAsia="en-US"/>
    </w:rPr>
  </w:style>
  <w:style w:type="paragraph" w:styleId="ListBullet">
    <w:name w:val="List Bullet"/>
    <w:basedOn w:val="List"/>
    <w:rsid w:val="00C62F87"/>
    <w:pPr>
      <w:numPr>
        <w:numId w:val="12"/>
      </w:numPr>
      <w:tabs>
        <w:tab w:val="clear" w:pos="340"/>
      </w:tabs>
      <w:spacing w:before="40" w:after="40"/>
    </w:pPr>
  </w:style>
  <w:style w:type="character" w:customStyle="1" w:styleId="SpecialBold">
    <w:name w:val="Special Bold"/>
    <w:basedOn w:val="DefaultParagraphFont"/>
    <w:rsid w:val="00C62F87"/>
    <w:rPr>
      <w:b/>
      <w:spacing w:val="0"/>
    </w:rPr>
  </w:style>
  <w:style w:type="paragraph" w:styleId="ListBullet2">
    <w:name w:val="List Bullet 2"/>
    <w:basedOn w:val="List2"/>
    <w:rsid w:val="00C62F87"/>
    <w:pPr>
      <w:numPr>
        <w:numId w:val="13"/>
      </w:numPr>
      <w:tabs>
        <w:tab w:val="clear" w:pos="680"/>
      </w:tabs>
    </w:pPr>
  </w:style>
  <w:style w:type="paragraph" w:customStyle="1" w:styleId="SuperHeading">
    <w:name w:val="SuperHeading"/>
    <w:basedOn w:val="Normal"/>
    <w:rsid w:val="00C62F87"/>
    <w:pPr>
      <w:spacing w:before="240" w:after="120"/>
      <w:outlineLvl w:val="0"/>
    </w:pPr>
    <w:rPr>
      <w:rFonts w:ascii="Times New Roman" w:hAnsi="Times New Roman"/>
      <w:b/>
      <w:sz w:val="32"/>
    </w:rPr>
  </w:style>
  <w:style w:type="paragraph" w:customStyle="1" w:styleId="AllowPageBreak">
    <w:name w:val="AllowPageBreak"/>
    <w:rsid w:val="00C62F8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62F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2F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2F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2F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2F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2F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2F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2F87"/>
    <w:rPr>
      <w:rFonts w:ascii="Courier New" w:eastAsia="Times New Roman" w:hAnsi="Courier New" w:cs="Times New Roman"/>
      <w:i/>
      <w:szCs w:val="20"/>
      <w:lang w:eastAsia="en-US"/>
    </w:rPr>
  </w:style>
  <w:style w:type="paragraph" w:customStyle="1" w:styleId="HeadingBase">
    <w:name w:val="Heading Base"/>
    <w:rsid w:val="00C62F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2F87"/>
    <w:pPr>
      <w:tabs>
        <w:tab w:val="right" w:leader="dot" w:pos="9072"/>
      </w:tabs>
      <w:ind w:left="567"/>
    </w:pPr>
    <w:rPr>
      <w:szCs w:val="22"/>
    </w:rPr>
  </w:style>
  <w:style w:type="paragraph" w:customStyle="1" w:styleId="TOCBase">
    <w:name w:val="TOC Base"/>
    <w:rsid w:val="00C62F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2F87"/>
    <w:pPr>
      <w:tabs>
        <w:tab w:val="right" w:leader="dot" w:pos="9072"/>
      </w:tabs>
      <w:spacing w:before="40" w:after="40"/>
      <w:ind w:left="284"/>
    </w:pPr>
    <w:rPr>
      <w:rFonts w:ascii="Times New Roman" w:hAnsi="Times New Roman"/>
    </w:rPr>
  </w:style>
  <w:style w:type="paragraph" w:styleId="TOC1">
    <w:name w:val="toc 1"/>
    <w:basedOn w:val="TOCBase"/>
    <w:next w:val="Normal"/>
    <w:rsid w:val="00C62F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2F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2F87"/>
    <w:rPr>
      <w:rFonts w:ascii="Times New Roman" w:eastAsia="Times New Roman" w:hAnsi="Times New Roman" w:cs="Times New Roman"/>
      <w:sz w:val="16"/>
      <w:lang w:eastAsia="en-US"/>
    </w:rPr>
  </w:style>
  <w:style w:type="paragraph" w:styleId="Title">
    <w:name w:val="Title"/>
    <w:basedOn w:val="HeadingBase"/>
    <w:link w:val="TitleChar"/>
    <w:qFormat/>
    <w:rsid w:val="00C62F87"/>
    <w:pPr>
      <w:spacing w:before="5040"/>
      <w:jc w:val="center"/>
    </w:pPr>
    <w:rPr>
      <w:sz w:val="48"/>
      <w:szCs w:val="72"/>
      <w:lang w:val="en-US"/>
    </w:rPr>
  </w:style>
  <w:style w:type="character" w:customStyle="1" w:styleId="TitleChar">
    <w:name w:val="Title Char"/>
    <w:basedOn w:val="DefaultParagraphFont"/>
    <w:link w:val="Title"/>
    <w:rsid w:val="00C62F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2F87"/>
    <w:pPr>
      <w:tabs>
        <w:tab w:val="left" w:pos="3600"/>
        <w:tab w:val="left" w:pos="3958"/>
      </w:tabs>
    </w:pPr>
  </w:style>
  <w:style w:type="paragraph" w:styleId="List">
    <w:name w:val="List"/>
    <w:basedOn w:val="BodyText"/>
    <w:next w:val="BodyText"/>
    <w:rsid w:val="00C62F87"/>
    <w:pPr>
      <w:tabs>
        <w:tab w:val="left" w:pos="340"/>
      </w:tabs>
      <w:spacing w:before="60" w:after="60"/>
      <w:ind w:left="340" w:hanging="340"/>
    </w:pPr>
  </w:style>
  <w:style w:type="paragraph" w:customStyle="1" w:styleId="Note">
    <w:name w:val="Note"/>
    <w:basedOn w:val="BodyText"/>
    <w:rsid w:val="00C62F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2F87"/>
    <w:pPr>
      <w:framePr w:wrap="auto" w:hAnchor="text" w:y="6049"/>
    </w:pPr>
    <w:rPr>
      <w:color w:val="000000"/>
      <w:sz w:val="40"/>
    </w:rPr>
  </w:style>
  <w:style w:type="paragraph" w:customStyle="1" w:styleId="TOCTitle">
    <w:name w:val="TOCTitle"/>
    <w:basedOn w:val="Heading1"/>
    <w:rsid w:val="00C62F87"/>
    <w:pPr>
      <w:spacing w:after="240"/>
      <w:jc w:val="center"/>
      <w:outlineLvl w:val="9"/>
    </w:pPr>
    <w:rPr>
      <w:caps/>
    </w:rPr>
  </w:style>
  <w:style w:type="paragraph" w:customStyle="1" w:styleId="Version">
    <w:name w:val="Version"/>
    <w:rsid w:val="00C62F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2F87"/>
    <w:pPr>
      <w:keepNext w:val="0"/>
      <w:tabs>
        <w:tab w:val="right" w:pos="4176"/>
      </w:tabs>
      <w:ind w:left="198" w:hanging="198"/>
    </w:pPr>
    <w:rPr>
      <w:rFonts w:ascii="Garamond" w:hAnsi="Garamond"/>
    </w:rPr>
  </w:style>
  <w:style w:type="paragraph" w:styleId="IndexHeading">
    <w:name w:val="index heading"/>
    <w:basedOn w:val="Normal"/>
    <w:next w:val="Index1"/>
    <w:semiHidden/>
    <w:rsid w:val="00C62F87"/>
    <w:pPr>
      <w:spacing w:before="120" w:after="120"/>
    </w:pPr>
    <w:rPr>
      <w:rFonts w:ascii="Arial" w:hAnsi="Arial"/>
      <w:b/>
      <w:color w:val="918585"/>
      <w:sz w:val="24"/>
    </w:rPr>
  </w:style>
  <w:style w:type="paragraph" w:styleId="Header">
    <w:name w:val="header"/>
    <w:basedOn w:val="Normal"/>
    <w:link w:val="HeaderChar"/>
    <w:rsid w:val="00C62F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2F87"/>
    <w:rPr>
      <w:rFonts w:ascii="Times New Roman" w:eastAsia="Times New Roman" w:hAnsi="Times New Roman" w:cs="Times New Roman"/>
      <w:sz w:val="16"/>
      <w:szCs w:val="20"/>
      <w:lang w:val="en-GB" w:eastAsia="en-US"/>
    </w:rPr>
  </w:style>
  <w:style w:type="paragraph" w:customStyle="1" w:styleId="Chapter">
    <w:name w:val="Chapter"/>
    <w:basedOn w:val="Normal"/>
    <w:rsid w:val="00C62F87"/>
    <w:pPr>
      <w:spacing w:before="240"/>
    </w:pPr>
    <w:rPr>
      <w:rFonts w:ascii="Times New Roman" w:hAnsi="Times New Roman"/>
      <w:smallCaps/>
      <w:spacing w:val="80"/>
      <w:sz w:val="28"/>
    </w:rPr>
  </w:style>
  <w:style w:type="paragraph" w:customStyle="1" w:styleId="InChapter">
    <w:name w:val="InChapter"/>
    <w:basedOn w:val="Heading3"/>
    <w:rsid w:val="00C62F87"/>
    <w:pPr>
      <w:spacing w:after="240"/>
      <w:outlineLvl w:val="9"/>
    </w:pPr>
    <w:rPr>
      <w:noProof/>
    </w:rPr>
  </w:style>
  <w:style w:type="paragraph" w:styleId="Index2">
    <w:name w:val="index 2"/>
    <w:basedOn w:val="Normal"/>
    <w:next w:val="Normal"/>
    <w:semiHidden/>
    <w:rsid w:val="00C62F87"/>
    <w:pPr>
      <w:tabs>
        <w:tab w:val="right" w:pos="4176"/>
      </w:tabs>
      <w:ind w:left="568" w:hanging="284"/>
    </w:pPr>
    <w:rPr>
      <w:rFonts w:ascii="Garamond" w:hAnsi="Garamond"/>
    </w:rPr>
  </w:style>
  <w:style w:type="paragraph" w:customStyle="1" w:styleId="Byline">
    <w:name w:val="Byline"/>
    <w:rsid w:val="00C62F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2F87"/>
    <w:pPr>
      <w:tabs>
        <w:tab w:val="clear" w:pos="3600"/>
        <w:tab w:val="clear" w:pos="3958"/>
      </w:tabs>
      <w:jc w:val="right"/>
    </w:pPr>
  </w:style>
  <w:style w:type="character" w:styleId="Emphasis">
    <w:name w:val="Emphasis"/>
    <w:basedOn w:val="DefaultParagraphFont"/>
    <w:qFormat/>
    <w:rsid w:val="00C62F87"/>
    <w:rPr>
      <w:i/>
    </w:rPr>
  </w:style>
  <w:style w:type="paragraph" w:styleId="Caption">
    <w:name w:val="caption"/>
    <w:basedOn w:val="BodyText"/>
    <w:next w:val="Normal"/>
    <w:qFormat/>
    <w:rsid w:val="00C62F87"/>
    <w:pPr>
      <w:framePr w:w="2268" w:hSpace="181" w:vSpace="181" w:wrap="around" w:vAnchor="text" w:hAnchor="page" w:x="1135" w:y="285" w:anchorLock="1"/>
    </w:pPr>
    <w:rPr>
      <w:i/>
    </w:rPr>
  </w:style>
  <w:style w:type="paragraph" w:customStyle="1" w:styleId="MiniTOCTitle">
    <w:name w:val="MiniTOCTitle"/>
    <w:basedOn w:val="Heading4"/>
    <w:rsid w:val="00C62F87"/>
    <w:pPr>
      <w:spacing w:before="240"/>
      <w:outlineLvl w:val="9"/>
    </w:pPr>
    <w:rPr>
      <w:noProof/>
      <w:sz w:val="24"/>
    </w:rPr>
  </w:style>
  <w:style w:type="paragraph" w:customStyle="1" w:styleId="MiniTOCItem">
    <w:name w:val="MiniTOCItem"/>
    <w:basedOn w:val="ListBullet"/>
    <w:rsid w:val="00C62F87"/>
    <w:pPr>
      <w:numPr>
        <w:numId w:val="0"/>
      </w:numPr>
      <w:tabs>
        <w:tab w:val="right" w:leader="dot" w:pos="6521"/>
      </w:tabs>
      <w:spacing w:before="0" w:after="0"/>
    </w:pPr>
  </w:style>
  <w:style w:type="paragraph" w:customStyle="1" w:styleId="TOFTitle">
    <w:name w:val="TOFTitle"/>
    <w:basedOn w:val="TOCTitle"/>
    <w:rsid w:val="00C62F87"/>
  </w:style>
  <w:style w:type="paragraph" w:styleId="TableofFigures">
    <w:name w:val="table of figures"/>
    <w:basedOn w:val="Normal"/>
    <w:next w:val="Normal"/>
    <w:semiHidden/>
    <w:rsid w:val="00C62F87"/>
    <w:pPr>
      <w:tabs>
        <w:tab w:val="right" w:leader="dot" w:pos="9072"/>
      </w:tabs>
      <w:ind w:left="970" w:hanging="403"/>
    </w:pPr>
    <w:rPr>
      <w:rFonts w:ascii="Times New Roman" w:hAnsi="Times New Roman"/>
      <w:b/>
    </w:rPr>
  </w:style>
  <w:style w:type="paragraph" w:styleId="ListNumber">
    <w:name w:val="List Number"/>
    <w:basedOn w:val="List"/>
    <w:rsid w:val="00C62F87"/>
    <w:pPr>
      <w:numPr>
        <w:numId w:val="15"/>
      </w:numPr>
      <w:tabs>
        <w:tab w:val="clear" w:pos="340"/>
      </w:tabs>
    </w:pPr>
  </w:style>
  <w:style w:type="character" w:customStyle="1" w:styleId="WingdingSymbols">
    <w:name w:val="Wingding Symbols"/>
    <w:rsid w:val="00C62F87"/>
    <w:rPr>
      <w:rFonts w:ascii="Wingdings" w:hAnsi="Wingdings"/>
    </w:rPr>
  </w:style>
  <w:style w:type="paragraph" w:customStyle="1" w:styleId="TableHeading">
    <w:name w:val="Table Heading"/>
    <w:basedOn w:val="HeadingBase"/>
    <w:rsid w:val="00C62F87"/>
    <w:pPr>
      <w:keepLines/>
      <w:pBdr>
        <w:bottom w:val="single" w:sz="6" w:space="1" w:color="918585"/>
      </w:pBdr>
      <w:spacing w:before="240"/>
    </w:pPr>
  </w:style>
  <w:style w:type="character" w:customStyle="1" w:styleId="HotSpot">
    <w:name w:val="HotSpot"/>
    <w:rsid w:val="00C62F87"/>
    <w:rPr>
      <w:color w:val="0033CC"/>
      <w:u w:val="none"/>
    </w:rPr>
  </w:style>
  <w:style w:type="paragraph" w:customStyle="1" w:styleId="BodyTextRight">
    <w:name w:val="Body Text Right"/>
    <w:basedOn w:val="BodyText"/>
    <w:rsid w:val="00C62F87"/>
    <w:pPr>
      <w:spacing w:before="0" w:after="0"/>
      <w:jc w:val="right"/>
    </w:pPr>
  </w:style>
  <w:style w:type="paragraph" w:styleId="Index3">
    <w:name w:val="index 3"/>
    <w:basedOn w:val="ListNumber2"/>
    <w:next w:val="Normal"/>
    <w:semiHidden/>
    <w:rsid w:val="00C62F87"/>
    <w:pPr>
      <w:numPr>
        <w:numId w:val="0"/>
      </w:numPr>
      <w:tabs>
        <w:tab w:val="right" w:leader="dot" w:pos="4176"/>
      </w:tabs>
    </w:pPr>
  </w:style>
  <w:style w:type="paragraph" w:styleId="ListNumber2">
    <w:name w:val="List Number 2"/>
    <w:basedOn w:val="List2"/>
    <w:rsid w:val="00C62F87"/>
    <w:pPr>
      <w:numPr>
        <w:numId w:val="10"/>
      </w:numPr>
      <w:tabs>
        <w:tab w:val="clear" w:pos="1060"/>
      </w:tabs>
    </w:pPr>
  </w:style>
  <w:style w:type="paragraph" w:customStyle="1" w:styleId="MarginNote">
    <w:name w:val="Margin Note"/>
    <w:basedOn w:val="BodyText"/>
    <w:rsid w:val="00C62F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2F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2F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2F87"/>
    <w:rPr>
      <w:sz w:val="32"/>
    </w:rPr>
  </w:style>
  <w:style w:type="paragraph" w:customStyle="1" w:styleId="HeadingProcedure">
    <w:name w:val="Heading Procedure"/>
    <w:basedOn w:val="HeadingBase"/>
    <w:next w:val="Normal"/>
    <w:rsid w:val="00C62F87"/>
    <w:pPr>
      <w:tabs>
        <w:tab w:val="left" w:pos="0"/>
      </w:tabs>
      <w:spacing w:before="120" w:after="60"/>
    </w:pPr>
    <w:rPr>
      <w:i/>
      <w:color w:val="918585"/>
      <w:sz w:val="22"/>
    </w:rPr>
  </w:style>
  <w:style w:type="paragraph" w:customStyle="1" w:styleId="TableBodyText">
    <w:name w:val="Table Body Text"/>
    <w:basedOn w:val="BodyText"/>
    <w:rsid w:val="00C62F87"/>
    <w:pPr>
      <w:spacing w:before="60" w:after="60"/>
    </w:pPr>
  </w:style>
  <w:style w:type="paragraph" w:styleId="ListContinue">
    <w:name w:val="List Continue"/>
    <w:basedOn w:val="List"/>
    <w:rsid w:val="00C62F87"/>
    <w:pPr>
      <w:ind w:firstLine="0"/>
    </w:pPr>
  </w:style>
  <w:style w:type="paragraph" w:customStyle="1" w:styleId="ListNote">
    <w:name w:val="List Note"/>
    <w:basedOn w:val="List"/>
    <w:rsid w:val="00C62F87"/>
    <w:pPr>
      <w:pBdr>
        <w:top w:val="single" w:sz="6" w:space="2" w:color="918585"/>
        <w:bottom w:val="single" w:sz="6" w:space="2" w:color="918585"/>
      </w:pBdr>
      <w:tabs>
        <w:tab w:val="left" w:pos="1021"/>
      </w:tabs>
      <w:ind w:firstLine="0"/>
    </w:pPr>
  </w:style>
  <w:style w:type="paragraph" w:customStyle="1" w:styleId="Warning">
    <w:name w:val="Warning"/>
    <w:basedOn w:val="BodyText"/>
    <w:rsid w:val="00C62F87"/>
    <w:pPr>
      <w:shd w:val="clear" w:color="auto" w:fill="D9D9D9"/>
      <w:tabs>
        <w:tab w:val="left" w:pos="992"/>
      </w:tabs>
      <w:ind w:left="119" w:right="119"/>
    </w:pPr>
    <w:rPr>
      <w:sz w:val="20"/>
    </w:rPr>
  </w:style>
  <w:style w:type="paragraph" w:customStyle="1" w:styleId="MarginIcons">
    <w:name w:val="Margin Icons"/>
    <w:basedOn w:val="BodyText"/>
    <w:rsid w:val="00C62F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2F87"/>
    <w:rPr>
      <w:rFonts w:ascii="Courier New" w:hAnsi="Courier New"/>
    </w:rPr>
  </w:style>
  <w:style w:type="paragraph" w:customStyle="1" w:styleId="NoteBullet">
    <w:name w:val="Note Bullet"/>
    <w:basedOn w:val="Note"/>
    <w:rsid w:val="00C62F87"/>
    <w:pPr>
      <w:tabs>
        <w:tab w:val="clear" w:pos="680"/>
      </w:tabs>
      <w:spacing w:before="60" w:after="60"/>
    </w:pPr>
  </w:style>
  <w:style w:type="paragraph" w:customStyle="1" w:styleId="SubHeading2">
    <w:name w:val="SubHeading2"/>
    <w:basedOn w:val="HeadingBase"/>
    <w:rsid w:val="00C62F87"/>
    <w:pPr>
      <w:spacing w:before="240" w:after="60"/>
    </w:pPr>
    <w:rPr>
      <w:sz w:val="20"/>
    </w:rPr>
  </w:style>
  <w:style w:type="paragraph" w:customStyle="1" w:styleId="SubHeading1">
    <w:name w:val="SubHeading1"/>
    <w:basedOn w:val="HeadingBase"/>
    <w:rsid w:val="00C62F87"/>
    <w:pPr>
      <w:spacing w:before="240" w:after="60"/>
    </w:pPr>
    <w:rPr>
      <w:color w:val="918585"/>
      <w:sz w:val="22"/>
    </w:rPr>
  </w:style>
  <w:style w:type="paragraph" w:customStyle="1" w:styleId="SideHeading">
    <w:name w:val="Side Heading"/>
    <w:basedOn w:val="HeadingBase"/>
    <w:rsid w:val="00C62F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2F87"/>
    <w:pPr>
      <w:tabs>
        <w:tab w:val="num" w:pos="360"/>
      </w:tabs>
    </w:pPr>
  </w:style>
  <w:style w:type="paragraph" w:styleId="PlainText">
    <w:name w:val="Plain Text"/>
    <w:basedOn w:val="Normal"/>
    <w:link w:val="PlainTextChar"/>
    <w:rsid w:val="00C62F87"/>
    <w:rPr>
      <w:sz w:val="20"/>
    </w:rPr>
  </w:style>
  <w:style w:type="character" w:customStyle="1" w:styleId="PlainTextChar">
    <w:name w:val="Plain Text Char"/>
    <w:basedOn w:val="DefaultParagraphFont"/>
    <w:link w:val="PlainText"/>
    <w:rsid w:val="00C62F87"/>
    <w:rPr>
      <w:rFonts w:ascii="Courier New" w:eastAsia="Times New Roman" w:hAnsi="Courier New" w:cs="Times New Roman"/>
      <w:sz w:val="20"/>
      <w:szCs w:val="20"/>
      <w:lang w:eastAsia="en-US"/>
    </w:rPr>
  </w:style>
  <w:style w:type="character" w:customStyle="1" w:styleId="MenuOption">
    <w:name w:val="Menu Option"/>
    <w:basedOn w:val="DefaultParagraphFont"/>
    <w:rsid w:val="00C62F87"/>
    <w:rPr>
      <w:b/>
      <w:smallCaps/>
    </w:rPr>
  </w:style>
  <w:style w:type="paragraph" w:customStyle="1" w:styleId="TableListNumber">
    <w:name w:val="Table List Number"/>
    <w:basedOn w:val="ListNumber"/>
    <w:rsid w:val="00C62F87"/>
    <w:pPr>
      <w:numPr>
        <w:numId w:val="0"/>
      </w:numPr>
    </w:pPr>
  </w:style>
  <w:style w:type="paragraph" w:styleId="TOC4">
    <w:name w:val="toc 4"/>
    <w:basedOn w:val="TOCBase"/>
    <w:next w:val="Normal"/>
    <w:semiHidden/>
    <w:rsid w:val="00C62F87"/>
    <w:pPr>
      <w:tabs>
        <w:tab w:val="right" w:leader="dot" w:pos="9071"/>
      </w:tabs>
      <w:ind w:left="1701"/>
    </w:pPr>
  </w:style>
  <w:style w:type="paragraph" w:customStyle="1" w:styleId="ListAlpha">
    <w:name w:val="List Alpha"/>
    <w:basedOn w:val="List"/>
    <w:rsid w:val="00C62F87"/>
    <w:pPr>
      <w:numPr>
        <w:numId w:val="9"/>
      </w:numPr>
    </w:pPr>
  </w:style>
  <w:style w:type="paragraph" w:customStyle="1" w:styleId="ListAlpha2">
    <w:name w:val="List Alpha 2"/>
    <w:basedOn w:val="List2"/>
    <w:rsid w:val="00C62F87"/>
    <w:pPr>
      <w:numPr>
        <w:numId w:val="8"/>
      </w:numPr>
    </w:pPr>
  </w:style>
  <w:style w:type="paragraph" w:styleId="List2">
    <w:name w:val="List 2"/>
    <w:basedOn w:val="BodyText"/>
    <w:rsid w:val="00C62F87"/>
    <w:pPr>
      <w:tabs>
        <w:tab w:val="left" w:pos="680"/>
      </w:tabs>
      <w:spacing w:before="60" w:after="60"/>
      <w:ind w:left="680" w:hanging="340"/>
    </w:pPr>
  </w:style>
  <w:style w:type="paragraph" w:styleId="List3">
    <w:name w:val="List 3"/>
    <w:basedOn w:val="BodyText"/>
    <w:rsid w:val="00C62F87"/>
    <w:pPr>
      <w:tabs>
        <w:tab w:val="left" w:pos="1021"/>
      </w:tabs>
      <w:spacing w:before="60" w:after="60"/>
      <w:ind w:left="1020" w:hanging="340"/>
    </w:pPr>
  </w:style>
  <w:style w:type="paragraph" w:styleId="List4">
    <w:name w:val="List 4"/>
    <w:basedOn w:val="BodyText"/>
    <w:rsid w:val="00C62F87"/>
    <w:pPr>
      <w:tabs>
        <w:tab w:val="left" w:pos="1361"/>
      </w:tabs>
      <w:spacing w:before="60" w:after="60"/>
      <w:ind w:left="1361" w:hanging="340"/>
    </w:pPr>
  </w:style>
  <w:style w:type="paragraph" w:styleId="List5">
    <w:name w:val="List 5"/>
    <w:basedOn w:val="BodyText"/>
    <w:rsid w:val="00C62F87"/>
    <w:pPr>
      <w:tabs>
        <w:tab w:val="left" w:pos="1701"/>
      </w:tabs>
      <w:spacing w:before="60" w:after="60"/>
      <w:ind w:left="1701" w:hanging="340"/>
    </w:pPr>
  </w:style>
  <w:style w:type="paragraph" w:styleId="ListBullet3">
    <w:name w:val="List Bullet 3"/>
    <w:basedOn w:val="List3"/>
    <w:rsid w:val="00C62F87"/>
    <w:pPr>
      <w:numPr>
        <w:numId w:val="14"/>
      </w:numPr>
      <w:tabs>
        <w:tab w:val="clear" w:pos="1021"/>
      </w:tabs>
      <w:ind w:left="1037" w:hanging="357"/>
    </w:pPr>
  </w:style>
  <w:style w:type="paragraph" w:styleId="ListBullet4">
    <w:name w:val="List Bullet 4"/>
    <w:basedOn w:val="List4"/>
    <w:rsid w:val="00C62F87"/>
    <w:pPr>
      <w:numPr>
        <w:numId w:val="3"/>
      </w:numPr>
      <w:tabs>
        <w:tab w:val="clear" w:pos="1361"/>
      </w:tabs>
    </w:pPr>
  </w:style>
  <w:style w:type="paragraph" w:styleId="ListBullet5">
    <w:name w:val="List Bullet 5"/>
    <w:basedOn w:val="List5"/>
    <w:rsid w:val="00C62F87"/>
    <w:pPr>
      <w:numPr>
        <w:numId w:val="4"/>
      </w:numPr>
    </w:pPr>
  </w:style>
  <w:style w:type="paragraph" w:styleId="ListContinue2">
    <w:name w:val="List Continue 2"/>
    <w:basedOn w:val="List2"/>
    <w:rsid w:val="00C62F87"/>
    <w:pPr>
      <w:ind w:firstLine="0"/>
    </w:pPr>
  </w:style>
  <w:style w:type="paragraph" w:styleId="ListContinue3">
    <w:name w:val="List Continue 3"/>
    <w:basedOn w:val="List3"/>
    <w:rsid w:val="00C62F87"/>
    <w:pPr>
      <w:ind w:left="1021" w:firstLine="0"/>
    </w:pPr>
  </w:style>
  <w:style w:type="paragraph" w:styleId="ListContinue4">
    <w:name w:val="List Continue 4"/>
    <w:basedOn w:val="List4"/>
    <w:rsid w:val="00C62F87"/>
    <w:pPr>
      <w:ind w:firstLine="0"/>
    </w:pPr>
  </w:style>
  <w:style w:type="paragraph" w:styleId="ListContinue5">
    <w:name w:val="List Continue 5"/>
    <w:basedOn w:val="List5"/>
    <w:rsid w:val="00C62F87"/>
    <w:pPr>
      <w:ind w:firstLine="0"/>
    </w:pPr>
  </w:style>
  <w:style w:type="paragraph" w:styleId="ListNumber3">
    <w:name w:val="List Number 3"/>
    <w:basedOn w:val="List3"/>
    <w:rsid w:val="00C62F87"/>
    <w:pPr>
      <w:numPr>
        <w:numId w:val="5"/>
      </w:numPr>
    </w:pPr>
  </w:style>
  <w:style w:type="paragraph" w:styleId="ListNumber4">
    <w:name w:val="List Number 4"/>
    <w:basedOn w:val="List4"/>
    <w:rsid w:val="00C62F87"/>
    <w:pPr>
      <w:numPr>
        <w:numId w:val="6"/>
      </w:numPr>
    </w:pPr>
  </w:style>
  <w:style w:type="paragraph" w:styleId="ListNumber5">
    <w:name w:val="List Number 5"/>
    <w:basedOn w:val="List5"/>
    <w:rsid w:val="00C62F87"/>
    <w:pPr>
      <w:numPr>
        <w:numId w:val="7"/>
      </w:numPr>
    </w:pPr>
  </w:style>
  <w:style w:type="paragraph" w:styleId="BlockText">
    <w:name w:val="Block Text"/>
    <w:basedOn w:val="Normal"/>
    <w:rsid w:val="00C62F87"/>
    <w:pPr>
      <w:spacing w:after="120"/>
      <w:ind w:left="1440" w:right="1440"/>
    </w:pPr>
  </w:style>
  <w:style w:type="character" w:customStyle="1" w:styleId="Subscript">
    <w:name w:val="Subscript"/>
    <w:basedOn w:val="DefaultParagraphFont"/>
    <w:rsid w:val="00C62F87"/>
    <w:rPr>
      <w:sz w:val="16"/>
      <w:vertAlign w:val="subscript"/>
    </w:rPr>
  </w:style>
  <w:style w:type="character" w:customStyle="1" w:styleId="Superscript">
    <w:name w:val="Superscript"/>
    <w:basedOn w:val="DefaultParagraphFont"/>
    <w:rsid w:val="00C62F87"/>
    <w:rPr>
      <w:sz w:val="16"/>
      <w:vertAlign w:val="superscript"/>
    </w:rPr>
  </w:style>
  <w:style w:type="character" w:customStyle="1" w:styleId="Symbols">
    <w:name w:val="Symbols"/>
    <w:basedOn w:val="DefaultParagraphFont"/>
    <w:rsid w:val="00C62F87"/>
    <w:rPr>
      <w:rFonts w:ascii="Symbol" w:hAnsi="Symbol"/>
    </w:rPr>
  </w:style>
  <w:style w:type="character" w:customStyle="1" w:styleId="MenuOptions">
    <w:name w:val="Menu Options"/>
    <w:basedOn w:val="DefaultParagraphFont"/>
    <w:rsid w:val="00C62F87"/>
    <w:rPr>
      <w:rFonts w:ascii="Arial Narrow" w:hAnsi="Arial Narrow"/>
      <w:smallCaps/>
    </w:rPr>
  </w:style>
  <w:style w:type="character" w:customStyle="1" w:styleId="Buttons">
    <w:name w:val="Buttons"/>
    <w:basedOn w:val="DefaultParagraphFont"/>
    <w:rsid w:val="00C62F87"/>
    <w:rPr>
      <w:b/>
    </w:rPr>
  </w:style>
  <w:style w:type="character" w:customStyle="1" w:styleId="Underlined">
    <w:name w:val="Underlined"/>
    <w:basedOn w:val="DefaultParagraphFont"/>
    <w:rsid w:val="00C62F87"/>
    <w:rPr>
      <w:u w:val="single"/>
    </w:rPr>
  </w:style>
  <w:style w:type="paragraph" w:customStyle="1" w:styleId="TableBodyTextRight">
    <w:name w:val="Table Body Text Right"/>
    <w:basedOn w:val="TableBodyText"/>
    <w:rsid w:val="00C62F87"/>
    <w:pPr>
      <w:widowControl w:val="0"/>
      <w:autoSpaceDE w:val="0"/>
      <w:autoSpaceDN w:val="0"/>
      <w:adjustRightInd w:val="0"/>
      <w:jc w:val="right"/>
    </w:pPr>
    <w:rPr>
      <w:rFonts w:cs="Arial"/>
      <w:szCs w:val="18"/>
    </w:rPr>
  </w:style>
  <w:style w:type="paragraph" w:customStyle="1" w:styleId="CopyrightText">
    <w:name w:val="Copyright Text"/>
    <w:basedOn w:val="BodyText"/>
    <w:rsid w:val="00C62F87"/>
    <w:rPr>
      <w:sz w:val="18"/>
    </w:rPr>
  </w:style>
  <w:style w:type="paragraph" w:customStyle="1" w:styleId="BodySmallRight">
    <w:name w:val="Body Small Right"/>
    <w:basedOn w:val="BodyTextRight"/>
    <w:rsid w:val="00C62F87"/>
    <w:rPr>
      <w:sz w:val="18"/>
      <w:szCs w:val="18"/>
    </w:rPr>
  </w:style>
  <w:style w:type="paragraph" w:customStyle="1" w:styleId="MarginEdition">
    <w:name w:val="Margin Edition"/>
    <w:basedOn w:val="MarginNote"/>
    <w:rsid w:val="00C62F87"/>
    <w:pPr>
      <w:spacing w:before="0" w:after="0"/>
    </w:pPr>
    <w:rPr>
      <w:rFonts w:ascii="Times New Roman" w:hAnsi="Times New Roman"/>
      <w:color w:val="999999"/>
    </w:rPr>
  </w:style>
  <w:style w:type="paragraph" w:customStyle="1" w:styleId="Spacer">
    <w:name w:val="Spacer"/>
    <w:basedOn w:val="Normal"/>
    <w:rsid w:val="00C62F87"/>
    <w:rPr>
      <w:sz w:val="2"/>
      <w:szCs w:val="2"/>
    </w:rPr>
  </w:style>
  <w:style w:type="character" w:customStyle="1" w:styleId="Small">
    <w:name w:val="Small"/>
    <w:basedOn w:val="DefaultParagraphFont"/>
    <w:rsid w:val="00C62F87"/>
    <w:rPr>
      <w:sz w:val="16"/>
    </w:rPr>
  </w:style>
  <w:style w:type="paragraph" w:customStyle="1" w:styleId="WideTable">
    <w:name w:val="Wide Table"/>
    <w:basedOn w:val="Normal"/>
    <w:rsid w:val="00C62F87"/>
    <w:pPr>
      <w:ind w:left="-1418"/>
    </w:pPr>
    <w:rPr>
      <w:sz w:val="2"/>
      <w:szCs w:val="2"/>
    </w:rPr>
  </w:style>
  <w:style w:type="character" w:styleId="PageNumber">
    <w:name w:val="page number"/>
    <w:basedOn w:val="DefaultParagraphFont"/>
    <w:rsid w:val="00C62F87"/>
  </w:style>
  <w:style w:type="paragraph" w:styleId="Quote">
    <w:name w:val="Quote"/>
    <w:basedOn w:val="Heading1"/>
    <w:link w:val="QuoteChar"/>
    <w:qFormat/>
    <w:rsid w:val="00C62F87"/>
    <w:rPr>
      <w:b w:val="0"/>
      <w:sz w:val="72"/>
      <w:szCs w:val="72"/>
      <w:lang w:val="en-NZ"/>
    </w:rPr>
  </w:style>
  <w:style w:type="character" w:customStyle="1" w:styleId="QuoteChar">
    <w:name w:val="Quote Char"/>
    <w:basedOn w:val="DefaultParagraphFont"/>
    <w:link w:val="Quote"/>
    <w:rsid w:val="00C62F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2F87"/>
    <w:pPr>
      <w:pageBreakBefore/>
    </w:pPr>
  </w:style>
  <w:style w:type="paragraph" w:customStyle="1" w:styleId="Border">
    <w:name w:val="Border"/>
    <w:basedOn w:val="Normal"/>
    <w:qFormat/>
    <w:rsid w:val="00C62F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2F87"/>
    <w:rPr>
      <w:b/>
      <w:bCs/>
      <w:i/>
      <w:iCs/>
      <w:color w:val="auto"/>
    </w:rPr>
  </w:style>
  <w:style w:type="paragraph" w:styleId="IntenseQuote">
    <w:name w:val="Intense Quote"/>
    <w:basedOn w:val="Normal"/>
    <w:next w:val="Normal"/>
    <w:link w:val="IntenseQuoteChar"/>
    <w:uiPriority w:val="30"/>
    <w:qFormat/>
    <w:rsid w:val="00C62F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2F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2F87"/>
    <w:rPr>
      <w:smallCaps/>
      <w:color w:val="auto"/>
      <w:u w:val="single"/>
    </w:rPr>
  </w:style>
  <w:style w:type="character" w:styleId="IntenseReference">
    <w:name w:val="Intense Reference"/>
    <w:basedOn w:val="DefaultParagraphFont"/>
    <w:uiPriority w:val="32"/>
    <w:qFormat/>
    <w:rsid w:val="00C62F87"/>
    <w:rPr>
      <w:b/>
      <w:bCs/>
      <w:smallCaps/>
      <w:color w:val="auto"/>
      <w:spacing w:val="5"/>
      <w:u w:val="single"/>
    </w:rPr>
  </w:style>
  <w:style w:type="paragraph" w:customStyle="1" w:styleId="2ColumnHeading">
    <w:name w:val="2Column Heading"/>
    <w:basedOn w:val="BodyText"/>
    <w:qFormat/>
    <w:rsid w:val="00C62F87"/>
    <w:pPr>
      <w:spacing w:after="60"/>
      <w:ind w:left="-2268"/>
    </w:pPr>
    <w:rPr>
      <w:b/>
    </w:rPr>
  </w:style>
  <w:style w:type="paragraph" w:customStyle="1" w:styleId="Heading1TOC">
    <w:name w:val="Heading1 TOC"/>
    <w:basedOn w:val="Normal"/>
    <w:qFormat/>
    <w:rsid w:val="00C62F87"/>
    <w:pPr>
      <w:spacing w:before="240" w:after="120"/>
    </w:pPr>
    <w:rPr>
      <w:rFonts w:ascii="Times New Roman" w:hAnsi="Times New Roman"/>
      <w:b/>
      <w:sz w:val="32"/>
    </w:rPr>
  </w:style>
  <w:style w:type="paragraph" w:customStyle="1" w:styleId="Heading2TOC">
    <w:name w:val="Heading2 TOC"/>
    <w:basedOn w:val="Normal"/>
    <w:qFormat/>
    <w:rsid w:val="00C62F87"/>
    <w:pPr>
      <w:spacing w:before="240" w:after="60"/>
    </w:pPr>
    <w:rPr>
      <w:rFonts w:ascii="Times New Roman" w:hAnsi="Times New Roman"/>
      <w:b/>
      <w:sz w:val="28"/>
    </w:rPr>
  </w:style>
  <w:style w:type="character" w:customStyle="1" w:styleId="Underline">
    <w:name w:val="Underline"/>
    <w:basedOn w:val="DefaultParagraphFont"/>
    <w:qFormat/>
    <w:rsid w:val="00C62F87"/>
    <w:rPr>
      <w:u w:val="single"/>
    </w:rPr>
  </w:style>
  <w:style w:type="character" w:customStyle="1" w:styleId="BoldandItalics">
    <w:name w:val="Bold and Italics"/>
    <w:qFormat/>
    <w:rsid w:val="00C62F87"/>
    <w:rPr>
      <w:b/>
      <w:i/>
      <w:u w:val="none"/>
    </w:rPr>
  </w:style>
  <w:style w:type="paragraph" w:styleId="BalloonText">
    <w:name w:val="Balloon Text"/>
    <w:basedOn w:val="Normal"/>
    <w:link w:val="BalloonTextChar"/>
    <w:rsid w:val="00C62F87"/>
    <w:rPr>
      <w:rFonts w:ascii="Tahoma" w:hAnsi="Tahoma" w:cs="Tahoma"/>
      <w:sz w:val="16"/>
      <w:szCs w:val="16"/>
    </w:rPr>
  </w:style>
  <w:style w:type="character" w:customStyle="1" w:styleId="BalloonTextChar">
    <w:name w:val="Balloon Text Char"/>
    <w:basedOn w:val="DefaultParagraphFont"/>
    <w:link w:val="BalloonText"/>
    <w:rsid w:val="00C62F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2F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2F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2F87"/>
    <w:rPr>
      <w:b/>
      <w:color w:val="660033"/>
      <w:spacing w:val="0"/>
    </w:rPr>
  </w:style>
  <w:style w:type="paragraph" w:customStyle="1" w:styleId="Nameditemlist">
    <w:name w:val="Named item list"/>
    <w:basedOn w:val="BodyText"/>
    <w:qFormat/>
    <w:rsid w:val="00C62F87"/>
    <w:pPr>
      <w:tabs>
        <w:tab w:val="left" w:pos="2835"/>
      </w:tabs>
      <w:ind w:left="2835" w:hanging="2835"/>
    </w:pPr>
  </w:style>
  <w:style w:type="paragraph" w:customStyle="1" w:styleId="BodyTextnopadding">
    <w:name w:val="Body Text no padding"/>
    <w:basedOn w:val="BodyText"/>
    <w:qFormat/>
    <w:rsid w:val="00C62F87"/>
    <w:pPr>
      <w:spacing w:before="0" w:after="0"/>
    </w:pPr>
  </w:style>
  <w:style w:type="paragraph" w:customStyle="1" w:styleId="BodyTextBold">
    <w:name w:val="Body Text Bold"/>
    <w:basedOn w:val="BodyText"/>
    <w:qFormat/>
    <w:rsid w:val="00C62F87"/>
    <w:rPr>
      <w:b/>
    </w:rPr>
  </w:style>
  <w:style w:type="character" w:styleId="Hyperlink">
    <w:name w:val="Hyperlink"/>
    <w:basedOn w:val="DefaultParagraphFont"/>
    <w:uiPriority w:val="99"/>
    <w:unhideWhenUsed/>
    <w:rsid w:val="00686E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1194</Words>
  <Characters>7942</Characters>
  <Application>Microsoft Office Word</Application>
  <DocSecurity>0</DocSecurity>
  <Lines>264</Lines>
  <Paragraphs>172</Paragraphs>
  <ScaleCrop>false</ScaleCrop>
  <Company>Author-it Software Corporation Ltd.</Company>
  <LinksUpToDate>false</LinksUpToDate>
  <CharactersWithSpaces>8964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AVIG0004 Apply regulatory obligations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2025-03-01T15:52:00Z</dcterms:created>
  <dcterms:modified xsi:type="dcterms:W3CDTF">2025-03-01T15:52:00Z</dcterms:modified>
</cp:coreProperties>
</file>