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77E" w:rsidP="0098777E">
      <w:pPr>
        <w:pStyle w:val="Title"/>
      </w:pPr>
      <w:r>
        <w:fldChar w:fldCharType="begin"/>
      </w:r>
      <w:r>
        <w:instrText xml:space="preserve"> TITLE   \* MERGEFORMAT </w:instrText>
      </w:r>
      <w:r>
        <w:fldChar w:fldCharType="separate"/>
      </w:r>
      <w:r>
        <w:t>Assessment Requirements for AVIF0045 Facilitate the safety of aerodrome works and works site access</w:t>
      </w:r>
      <w:r>
        <w:fldChar w:fldCharType="end"/>
      </w:r>
    </w:p>
    <w:p w:rsidR="0098777E" w:rsidP="0098777E">
      <w:pPr>
        <w:pStyle w:val="Version"/>
        <w:sectPr w:rsidSect="00132C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CDE" w:rsidP="00132CDE">
      <w:pPr>
        <w:pStyle w:val="SuperHeading"/>
      </w:pPr>
      <w:r w:rsidRPr="00132CDE">
        <w:t>Assessment Requirements for AVIF0045 Facilitate the safety of aerodrome works and works site access</w:t>
      </w:r>
    </w:p>
    <w:p w:rsidR="00000000" w:rsidRPr="00132CDE" w:rsidP="00132CDE">
      <w:pPr>
        <w:pStyle w:val="Heading1"/>
      </w:pPr>
      <w:bookmarkStart w:id="1" w:name="O_1025813"/>
      <w:bookmarkEnd w:id="1"/>
      <w:r w:rsidRPr="00132CDE">
        <w:t>Modification History</w:t>
      </w:r>
    </w:p>
    <w:tbl>
      <w:tblPr>
        <w:tblW w:w="9497" w:type="dxa"/>
        <w:tblLayout w:type="fixed"/>
        <w:tblCellMar>
          <w:left w:w="62" w:type="dxa"/>
          <w:right w:w="62" w:type="dxa"/>
        </w:tblCellMar>
        <w:tblLook w:val="0000"/>
      </w:tblPr>
      <w:tblGrid>
        <w:gridCol w:w="9497"/>
      </w:tblGrid>
      <w:tr w:rsidTr="00132C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CDE" w:rsidP="00132CDE">
            <w:pPr>
              <w:pStyle w:val="BodyText"/>
            </w:pPr>
            <w:r w:rsidRPr="00132CDE">
              <w:t>Release 1. This is the first release of this unit of competency in the AVI Aviation Training Package.</w:t>
            </w:r>
          </w:p>
        </w:tc>
      </w:tr>
    </w:tbl>
    <w:p w:rsidR="00000000" w:rsidRPr="00132CDE" w:rsidP="00132CDE">
      <w:pPr>
        <w:pStyle w:val="NoPaddingFontSize1"/>
      </w:pPr>
    </w:p>
    <w:p w:rsidR="00000000" w:rsidRPr="00132CDE" w:rsidP="00132CDE">
      <w:pPr>
        <w:pStyle w:val="AllowPageBreak"/>
      </w:pPr>
    </w:p>
    <w:p w:rsidR="00000000" w:rsidRPr="00132CDE" w:rsidP="00132CDE">
      <w:pPr>
        <w:pStyle w:val="Heading1"/>
      </w:pPr>
      <w:bookmarkStart w:id="2" w:name="O_1025814"/>
      <w:bookmarkEnd w:id="2"/>
      <w:r w:rsidRPr="00132CDE">
        <w:t>Performance Evidence</w:t>
      </w:r>
    </w:p>
    <w:tbl>
      <w:tblPr>
        <w:tblW w:w="9497" w:type="dxa"/>
        <w:tblLayout w:type="fixed"/>
        <w:tblCellMar>
          <w:left w:w="62" w:type="dxa"/>
          <w:right w:w="62" w:type="dxa"/>
        </w:tblCellMar>
        <w:tblLook w:val="0000"/>
      </w:tblPr>
      <w:tblGrid>
        <w:gridCol w:w="9497"/>
      </w:tblGrid>
      <w:tr w:rsidTr="00132C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CDE" w:rsidP="00132CDE">
            <w:pPr>
              <w:pStyle w:val="BodyText"/>
            </w:pPr>
            <w:r w:rsidRPr="00132CDE">
              <w:t>Evidence required to demonstrate competence in this unit must be relevant to and satisfy all of the requirements of the elements, performance criteria and range of conditions on at least one occasion and include:</w:t>
            </w:r>
          </w:p>
          <w:p w:rsidR="00000000" w:rsidRPr="00132CDE" w:rsidP="00132CDE">
            <w:pPr>
              <w:pStyle w:val="ListBullet"/>
            </w:pPr>
            <w:r w:rsidRPr="00132CDE">
              <w:t xml:space="preserve">adapting to </w:t>
            </w:r>
            <w:r w:rsidRPr="00132CDE">
              <w:t>differences in equipment and operating environment in accordance with standard operating procedures (SOPs)</w:t>
            </w:r>
          </w:p>
          <w:p w:rsidR="00000000" w:rsidRPr="00132CDE" w:rsidP="00132CDE">
            <w:pPr>
              <w:pStyle w:val="ListBullet"/>
            </w:pPr>
            <w:r w:rsidRPr="00132CDE">
              <w:t>applying relevant legislation and workplace procedures</w:t>
            </w:r>
          </w:p>
          <w:p w:rsidR="00000000" w:rsidRPr="00132CDE" w:rsidP="00132CDE">
            <w:pPr>
              <w:pStyle w:val="ListBullet"/>
            </w:pPr>
            <w:r w:rsidRPr="00132CDE">
              <w:t xml:space="preserve">applying relevant systems, such as aerodrome safety management system (SMS) and procedures to </w:t>
            </w:r>
            <w:r w:rsidRPr="00132CDE">
              <w:t>assess and/or mitigate risk that might arise when inspecting and reporting on aerodrome serviceability</w:t>
            </w:r>
          </w:p>
          <w:p w:rsidR="00000000" w:rsidRPr="00132CDE" w:rsidP="00132CDE">
            <w:pPr>
              <w:pStyle w:val="ListBullet"/>
            </w:pPr>
            <w:r w:rsidRPr="00132CDE">
              <w:t>communicating effectively with others when providing workplace briefings or pre-start meetings to discuss aviation hazards, aircraft schedules, weather a</w:t>
            </w:r>
            <w:r w:rsidRPr="00132CDE">
              <w:t>nd contingencies amongst workers during prior to works</w:t>
            </w:r>
          </w:p>
          <w:p w:rsidR="00000000" w:rsidRPr="00132CDE" w:rsidP="00132CDE">
            <w:pPr>
              <w:pStyle w:val="ListBullet"/>
            </w:pPr>
            <w:r w:rsidRPr="00132CDE">
              <w:t>completing relevant documentation</w:t>
            </w:r>
          </w:p>
          <w:p w:rsidR="00000000" w:rsidRPr="00132CDE" w:rsidP="00132CDE">
            <w:pPr>
              <w:pStyle w:val="ListBullet"/>
            </w:pPr>
            <w:r w:rsidRPr="00132CDE">
              <w:t>identifying and correctly using equipment required to facilitate the safety of aerodrome works and works site access, including:</w:t>
            </w:r>
          </w:p>
          <w:p w:rsidR="00000000" w:rsidRPr="00132CDE" w:rsidP="00132CDE">
            <w:pPr>
              <w:pStyle w:val="ListBullet2"/>
            </w:pPr>
            <w:r w:rsidRPr="00132CDE">
              <w:t>computer</w:t>
            </w:r>
          </w:p>
          <w:p w:rsidR="00000000" w:rsidRPr="00132CDE" w:rsidP="00132CDE">
            <w:pPr>
              <w:pStyle w:val="ListBullet2"/>
            </w:pPr>
            <w:r w:rsidRPr="00132CDE">
              <w:t>hand tools</w:t>
            </w:r>
          </w:p>
          <w:p w:rsidR="00000000" w:rsidRPr="00132CDE" w:rsidP="00132CDE">
            <w:pPr>
              <w:pStyle w:val="ListBullet2"/>
            </w:pPr>
            <w:r w:rsidRPr="00132CDE">
              <w:t>lights</w:t>
            </w:r>
          </w:p>
          <w:p w:rsidR="00000000" w:rsidRPr="00132CDE" w:rsidP="00132CDE">
            <w:pPr>
              <w:pStyle w:val="ListBullet2"/>
            </w:pPr>
            <w:r w:rsidRPr="00132CDE">
              <w:t>maintenance equipment</w:t>
            </w:r>
          </w:p>
          <w:p w:rsidR="00000000" w:rsidRPr="00132CDE" w:rsidP="00132CDE">
            <w:pPr>
              <w:pStyle w:val="ListBullet2"/>
            </w:pPr>
            <w:r w:rsidRPr="00132CDE">
              <w:t>markers</w:t>
            </w:r>
          </w:p>
          <w:p w:rsidR="00000000" w:rsidRPr="00132CDE" w:rsidP="00132CDE">
            <w:pPr>
              <w:pStyle w:val="ListBullet2"/>
            </w:pPr>
            <w:r w:rsidRPr="00132CDE">
              <w:t>radio/s (non-ops/HF radio, airband/very high frequency (VHF) radio)</w:t>
            </w:r>
          </w:p>
          <w:p w:rsidR="00000000" w:rsidRPr="00132CDE" w:rsidP="00132CDE">
            <w:pPr>
              <w:pStyle w:val="ListBullet2"/>
            </w:pPr>
            <w:r w:rsidRPr="00132CDE">
              <w:t>spills response kit</w:t>
            </w:r>
          </w:p>
          <w:p w:rsidR="00000000" w:rsidRPr="00132CDE" w:rsidP="00132CDE">
            <w:pPr>
              <w:pStyle w:val="ListBullet2"/>
            </w:pPr>
            <w:r w:rsidRPr="00132CDE">
              <w:t>telephone</w:t>
            </w:r>
          </w:p>
          <w:p w:rsidR="00000000" w:rsidRPr="00132CDE" w:rsidP="00132CDE">
            <w:pPr>
              <w:pStyle w:val="ListBullet2"/>
            </w:pPr>
            <w:r w:rsidRPr="00132CDE">
              <w:t>vehicle with flashing light</w:t>
            </w:r>
          </w:p>
          <w:p w:rsidR="00000000" w:rsidRPr="00132CDE" w:rsidP="00132CDE">
            <w:pPr>
              <w:pStyle w:val="ListBullet2"/>
            </w:pPr>
            <w:r w:rsidRPr="00132CDE">
              <w:t>vehicle siren/loud speaker</w:t>
            </w:r>
          </w:p>
          <w:p w:rsidR="00000000" w:rsidRPr="00132CDE" w:rsidP="00132CDE">
            <w:pPr>
              <w:pStyle w:val="ListBullet"/>
            </w:pPr>
            <w:r w:rsidRPr="00132CDE">
              <w:t>identifying unserviceability markers and cones, including:</w:t>
            </w:r>
          </w:p>
          <w:p w:rsidR="00000000" w:rsidRPr="00132CDE" w:rsidP="00132CDE">
            <w:pPr>
              <w:pStyle w:val="ListBullet2"/>
            </w:pPr>
            <w:r w:rsidRPr="00132CDE">
              <w:t>displaced th</w:t>
            </w:r>
            <w:r w:rsidRPr="00132CDE">
              <w:t>reshold markers</w:t>
            </w:r>
          </w:p>
          <w:p w:rsidR="00000000" w:rsidRPr="00132CDE" w:rsidP="00132CDE">
            <w:pPr>
              <w:pStyle w:val="ListBullet2"/>
            </w:pPr>
            <w:r w:rsidRPr="00132CDE">
              <w:t>signal circle markers</w:t>
            </w:r>
          </w:p>
          <w:p w:rsidR="00000000" w:rsidRPr="00132CDE" w:rsidP="00132CDE">
            <w:pPr>
              <w:pStyle w:val="ListBullet2"/>
            </w:pPr>
            <w:r w:rsidRPr="00132CDE">
              <w:t>unserviceability cones</w:t>
            </w:r>
          </w:p>
          <w:p w:rsidR="00000000" w:rsidRPr="00132CDE" w:rsidP="00132CDE">
            <w:pPr>
              <w:pStyle w:val="ListBullet2"/>
            </w:pPr>
            <w:r w:rsidRPr="00132CDE">
              <w:t>unserviceability cross markers</w:t>
            </w:r>
          </w:p>
          <w:p w:rsidR="00000000" w:rsidRPr="00132CDE" w:rsidP="00132CDE">
            <w:pPr>
              <w:pStyle w:val="ListBullet2"/>
            </w:pPr>
            <w:r w:rsidRPr="00132CDE">
              <w:t>unserviceability lighting</w:t>
            </w:r>
          </w:p>
          <w:p w:rsidR="00000000" w:rsidRPr="00132CDE" w:rsidP="00132CDE">
            <w:pPr>
              <w:pStyle w:val="ListBullet"/>
            </w:pPr>
            <w:r w:rsidRPr="00132CDE">
              <w:t>implementing contingency plans</w:t>
            </w:r>
          </w:p>
          <w:p w:rsidR="00000000" w:rsidRPr="00132CDE" w:rsidP="00132CDE">
            <w:pPr>
              <w:pStyle w:val="ListBullet"/>
            </w:pPr>
            <w:r w:rsidRPr="00132CDE">
              <w:t>implementing work health and safety (WHS) procedures and relevant regulations</w:t>
            </w:r>
          </w:p>
          <w:p w:rsidR="00000000" w:rsidRPr="00132CDE" w:rsidP="00132CDE">
            <w:pPr>
              <w:pStyle w:val="ListBullet"/>
            </w:pPr>
            <w:r w:rsidRPr="00132CDE">
              <w:t>inspecting vehicles, including:</w:t>
            </w:r>
          </w:p>
          <w:p w:rsidR="00000000" w:rsidRPr="00132CDE" w:rsidP="00132CDE">
            <w:pPr>
              <w:pStyle w:val="ListBullet2"/>
            </w:pPr>
            <w:r w:rsidRPr="00132CDE">
              <w:t>appropriate markings and lights</w:t>
            </w:r>
          </w:p>
          <w:p w:rsidR="00000000" w:rsidRPr="00132CDE" w:rsidP="00132CDE">
            <w:pPr>
              <w:pStyle w:val="ListBullet2"/>
            </w:pPr>
            <w:r w:rsidRPr="00132CDE">
              <w:t>cleanliness to prevent the spread of weeds</w:t>
            </w:r>
          </w:p>
          <w:p w:rsidR="00000000" w:rsidRPr="00132CDE" w:rsidP="00132CDE">
            <w:pPr>
              <w:pStyle w:val="ListBullet2"/>
            </w:pPr>
            <w:r w:rsidRPr="00132CDE">
              <w:t>company logo/identification</w:t>
            </w:r>
          </w:p>
          <w:p w:rsidR="00000000" w:rsidRPr="00132CDE" w:rsidP="00132CDE">
            <w:pPr>
              <w:pStyle w:val="ListBullet2"/>
            </w:pPr>
            <w:r w:rsidRPr="00132CDE">
              <w:t>fuel and oil leakage</w:t>
            </w:r>
          </w:p>
          <w:p w:rsidR="00000000" w:rsidRPr="00132CDE" w:rsidP="00132CDE">
            <w:pPr>
              <w:pStyle w:val="ListBullet2"/>
            </w:pPr>
            <w:r w:rsidRPr="00132CDE">
              <w:t>radio equipment as required</w:t>
            </w:r>
          </w:p>
          <w:p w:rsidR="00000000" w:rsidRPr="00132CDE" w:rsidP="00132CDE">
            <w:pPr>
              <w:pStyle w:val="ListBullet2"/>
            </w:pPr>
            <w:r w:rsidRPr="00132CDE">
              <w:t>roadworthiness</w:t>
            </w:r>
          </w:p>
          <w:p w:rsidR="00000000" w:rsidRPr="00132CDE" w:rsidP="00132CDE">
            <w:pPr>
              <w:pStyle w:val="ListBullet2"/>
            </w:pPr>
            <w:r w:rsidRPr="00132CDE">
              <w:t>secure loads</w:t>
            </w:r>
          </w:p>
          <w:p w:rsidR="00000000" w:rsidRPr="00132CDE" w:rsidP="00132CDE">
            <w:pPr>
              <w:pStyle w:val="ListBullet"/>
            </w:pPr>
            <w:r w:rsidRPr="00132CDE">
              <w:t>monitoring and anticipating operational pr</w:t>
            </w:r>
            <w:r w:rsidRPr="00132CDE">
              <w:t>oblems and hazards and taking appropriate action</w:t>
            </w:r>
          </w:p>
          <w:p w:rsidR="00000000" w:rsidRPr="00132CDE" w:rsidP="00132CDE">
            <w:pPr>
              <w:pStyle w:val="ListBullet"/>
            </w:pPr>
            <w:r w:rsidRPr="00132CDE">
              <w:t>monitoring work activities in terms of planned schedule</w:t>
            </w:r>
          </w:p>
          <w:p w:rsidR="00000000" w:rsidRPr="00132CDE" w:rsidP="00132CDE">
            <w:pPr>
              <w:pStyle w:val="ListBullet"/>
            </w:pPr>
            <w:r w:rsidRPr="00132CDE">
              <w:t>operating electronic communications equipment to required protocol</w:t>
            </w:r>
          </w:p>
          <w:p w:rsidR="00000000" w:rsidRPr="00132CDE" w:rsidP="00132CDE">
            <w:pPr>
              <w:pStyle w:val="ListBullet"/>
            </w:pPr>
            <w:r w:rsidRPr="00132CDE">
              <w:t>reading, interpreting and following relevant instructions, regulations, procedures, information and signs</w:t>
            </w:r>
          </w:p>
          <w:p w:rsidR="00000000" w:rsidRPr="00132CDE" w:rsidP="00132CDE">
            <w:pPr>
              <w:pStyle w:val="ListBullet"/>
            </w:pPr>
            <w:r w:rsidRPr="00132CDE">
              <w:t>responding appropriately to cultural differences in the workplace</w:t>
            </w:r>
          </w:p>
          <w:p w:rsidR="00000000" w:rsidRPr="00132CDE" w:rsidP="00132CDE">
            <w:pPr>
              <w:pStyle w:val="ListBullet"/>
            </w:pPr>
            <w:r w:rsidRPr="00132CDE">
              <w:t>working tasks within aerodrome, including:</w:t>
            </w:r>
          </w:p>
          <w:p w:rsidR="00000000" w:rsidRPr="00132CDE" w:rsidP="00132CDE">
            <w:pPr>
              <w:pStyle w:val="ListBullet2"/>
            </w:pPr>
            <w:r w:rsidRPr="00132CDE">
              <w:t>maintenance of markings and lights</w:t>
            </w:r>
          </w:p>
          <w:p w:rsidR="00000000" w:rsidRPr="00132CDE" w:rsidP="00132CDE">
            <w:pPr>
              <w:pStyle w:val="ListBullet2"/>
            </w:pPr>
            <w:r w:rsidRPr="00132CDE">
              <w:t>major</w:t>
            </w:r>
            <w:r w:rsidRPr="00132CDE">
              <w:t xml:space="preserve"> construction or repairs to movement area</w:t>
            </w:r>
          </w:p>
          <w:p w:rsidR="00000000" w:rsidRPr="00132CDE" w:rsidP="00132CDE">
            <w:pPr>
              <w:pStyle w:val="ListBullet2"/>
            </w:pPr>
            <w:r w:rsidRPr="00132CDE">
              <w:t>minor repairs to pavements</w:t>
            </w:r>
          </w:p>
          <w:p w:rsidR="00000000" w:rsidRPr="00132CDE" w:rsidP="00132CDE">
            <w:pPr>
              <w:pStyle w:val="ListBullet2"/>
            </w:pPr>
            <w:r w:rsidRPr="00132CDE">
              <w:t>mowing grass</w:t>
            </w:r>
          </w:p>
          <w:p w:rsidR="00000000" w:rsidRPr="00132CDE" w:rsidP="00132CDE">
            <w:pPr>
              <w:pStyle w:val="ListBullet2"/>
            </w:pPr>
            <w:r w:rsidRPr="00132CDE">
              <w:t>painting and repainting</w:t>
            </w:r>
          </w:p>
          <w:p w:rsidR="00000000" w:rsidRPr="00132CDE" w:rsidP="00132CDE">
            <w:pPr>
              <w:pStyle w:val="ListBullet2"/>
            </w:pPr>
            <w:r w:rsidRPr="00132CDE">
              <w:t>rolling surfaces</w:t>
            </w:r>
          </w:p>
          <w:p w:rsidR="00000000" w:rsidRPr="00132CDE" w:rsidP="00132CDE">
            <w:pPr>
              <w:pStyle w:val="ListBullet2"/>
            </w:pPr>
            <w:r w:rsidRPr="00132CDE">
              <w:t>surveys and inspections</w:t>
            </w:r>
          </w:p>
          <w:p w:rsidR="00000000" w:rsidRPr="00132CDE" w:rsidP="00132CDE">
            <w:pPr>
              <w:pStyle w:val="ListBullet2"/>
            </w:pPr>
            <w:r w:rsidRPr="00132CDE">
              <w:t>sweeping pavements</w:t>
            </w:r>
          </w:p>
          <w:p w:rsidR="00000000" w:rsidRPr="00132CDE" w:rsidP="00132CDE">
            <w:pPr>
              <w:pStyle w:val="ListBullet"/>
            </w:pPr>
            <w:r w:rsidRPr="00132CDE">
              <w:t>updating and issuing notification information</w:t>
            </w:r>
          </w:p>
          <w:p w:rsidR="00000000" w:rsidRPr="00132CDE" w:rsidP="00132CDE">
            <w:pPr>
              <w:pStyle w:val="ListBullet"/>
            </w:pPr>
            <w:r w:rsidRPr="00132CDE">
              <w:t>selecting and using required personal prote</w:t>
            </w:r>
            <w:r w:rsidRPr="00132CDE">
              <w:t>ctive equipment (PPE) conforming to industry and WHS standards</w:t>
            </w:r>
          </w:p>
          <w:p w:rsidR="00000000" w:rsidRPr="00132CDE" w:rsidP="00132CDE">
            <w:pPr>
              <w:pStyle w:val="ListBullet"/>
            </w:pPr>
            <w:r w:rsidRPr="00132CDE">
              <w:t>working collaboratively with others when facilitating the safety of aerodrome works and works site access</w:t>
            </w:r>
          </w:p>
          <w:p w:rsidR="00000000" w:rsidRPr="00132CDE" w:rsidP="00132CDE">
            <w:pPr>
              <w:pStyle w:val="ListBullet"/>
            </w:pPr>
            <w:r w:rsidRPr="00132CDE">
              <w:t>working systematically with required attention to detail without injury to self or others, or damage to goods or equipment.</w:t>
            </w:r>
          </w:p>
        </w:tc>
      </w:tr>
    </w:tbl>
    <w:p w:rsidR="00000000" w:rsidRPr="00132CDE" w:rsidP="00132CDE">
      <w:pPr>
        <w:pStyle w:val="NoPaddingFontSize1"/>
      </w:pPr>
    </w:p>
    <w:p w:rsidR="00000000" w:rsidRPr="00132CDE" w:rsidP="00132CDE">
      <w:pPr>
        <w:pStyle w:val="AllowPageBreak"/>
      </w:pPr>
    </w:p>
    <w:p w:rsidR="00000000" w:rsidRPr="00132CDE" w:rsidP="00132CDE">
      <w:pPr>
        <w:pStyle w:val="Heading1"/>
      </w:pPr>
      <w:bookmarkStart w:id="3" w:name="O_1025815"/>
      <w:bookmarkEnd w:id="3"/>
      <w:r w:rsidRPr="00132CDE">
        <w:t>Knowledge Evidence</w:t>
      </w:r>
    </w:p>
    <w:tbl>
      <w:tblPr>
        <w:tblW w:w="9497" w:type="dxa"/>
        <w:tblLayout w:type="fixed"/>
        <w:tblCellMar>
          <w:left w:w="62" w:type="dxa"/>
          <w:right w:w="62" w:type="dxa"/>
        </w:tblCellMar>
        <w:tblLook w:val="0000"/>
      </w:tblPr>
      <w:tblGrid>
        <w:gridCol w:w="9497"/>
      </w:tblGrid>
      <w:tr w:rsidTr="00132C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CDE" w:rsidP="00132CDE">
            <w:pPr>
              <w:pStyle w:val="BodyText"/>
            </w:pPr>
            <w:r w:rsidRPr="00132CDE">
              <w:t>Evidence required to demonstrate competence in this unit must be relevant to and satisfy all</w:t>
            </w:r>
            <w:r w:rsidRPr="00132CDE">
              <w:t xml:space="preserve"> of the requirements of the elements, performance criteria and range of conditions and include knowledge of:</w:t>
            </w:r>
          </w:p>
          <w:p w:rsidR="00000000" w:rsidRPr="00132CDE" w:rsidP="00132CDE">
            <w:pPr>
              <w:pStyle w:val="ListBullet"/>
            </w:pPr>
            <w:r w:rsidRPr="00132CDE">
              <w:t>aerodrome layout, including access routes</w:t>
            </w:r>
          </w:p>
          <w:p w:rsidR="00000000" w:rsidRPr="00132CDE" w:rsidP="00132CDE">
            <w:pPr>
              <w:pStyle w:val="ListBullet"/>
            </w:pPr>
            <w:r w:rsidRPr="00132CDE">
              <w:t>aerodrome categories, including:</w:t>
            </w:r>
          </w:p>
          <w:p w:rsidR="00000000" w:rsidRPr="00132CDE" w:rsidP="00132CDE">
            <w:pPr>
              <w:pStyle w:val="ListBullet2"/>
            </w:pPr>
            <w:r w:rsidRPr="00132CDE">
              <w:t>certified</w:t>
            </w:r>
          </w:p>
          <w:p w:rsidR="00000000" w:rsidRPr="00132CDE" w:rsidP="00132CDE">
            <w:pPr>
              <w:pStyle w:val="ListBullet2"/>
            </w:pPr>
            <w:r w:rsidRPr="00132CDE">
              <w:t>registered</w:t>
            </w:r>
          </w:p>
          <w:p w:rsidR="00000000" w:rsidRPr="00132CDE" w:rsidP="00132CDE">
            <w:pPr>
              <w:pStyle w:val="ListBullet2"/>
            </w:pPr>
            <w:r w:rsidRPr="00132CDE">
              <w:t>other</w:t>
            </w:r>
          </w:p>
          <w:p w:rsidR="00000000" w:rsidRPr="00132CDE" w:rsidP="00132CDE">
            <w:pPr>
              <w:pStyle w:val="ListBullet"/>
            </w:pPr>
            <w:r w:rsidRPr="00132CDE">
              <w:t>aerodrome works classificat</w:t>
            </w:r>
            <w:r w:rsidRPr="00132CDE">
              <w:t>ions, including:</w:t>
            </w:r>
          </w:p>
          <w:p w:rsidR="00000000" w:rsidRPr="00132CDE" w:rsidP="00132CDE">
            <w:pPr>
              <w:pStyle w:val="ListBullet2"/>
            </w:pPr>
            <w:r w:rsidRPr="00132CDE">
              <w:t>time limited works not affecting normal aircraft operations (movement area operational in less than 10 minutes)</w:t>
            </w:r>
          </w:p>
          <w:p w:rsidR="00000000" w:rsidRPr="00132CDE" w:rsidP="00132CDE">
            <w:pPr>
              <w:pStyle w:val="ListBullet2"/>
            </w:pPr>
            <w:r w:rsidRPr="00132CDE">
              <w:t xml:space="preserve">time limited works requiring a Notice to Airmen (NOTAM), where normal aircraft operations are not affected (movement area not </w:t>
            </w:r>
            <w:r w:rsidRPr="00132CDE">
              <w:t>operational within 10-30 minutes)</w:t>
            </w:r>
          </w:p>
          <w:p w:rsidR="00000000" w:rsidRPr="00132CDE" w:rsidP="00132CDE">
            <w:pPr>
              <w:pStyle w:val="ListBullet2"/>
            </w:pPr>
            <w:r w:rsidRPr="00132CDE">
              <w:t>works requiring method of working plan (MOWP) with proposed NOTAM for each stage of works</w:t>
            </w:r>
          </w:p>
          <w:p w:rsidR="00000000" w:rsidRPr="00132CDE" w:rsidP="00132CDE">
            <w:pPr>
              <w:pStyle w:val="ListBullet2"/>
            </w:pPr>
            <w:r w:rsidRPr="00132CDE">
              <w:t>unscheduled/emergency works</w:t>
            </w:r>
          </w:p>
          <w:p w:rsidR="00000000" w:rsidRPr="00132CDE" w:rsidP="00132CDE">
            <w:pPr>
              <w:pStyle w:val="ListBullet2"/>
            </w:pPr>
            <w:r w:rsidRPr="00132CDE">
              <w:t>unrestricted works (aerodrome closed)</w:t>
            </w:r>
          </w:p>
          <w:p w:rsidR="00000000" w:rsidRPr="00132CDE" w:rsidP="00132CDE">
            <w:pPr>
              <w:pStyle w:val="ListBullet"/>
            </w:pPr>
            <w:r w:rsidRPr="00132CDE">
              <w:t>aircraft schedules and their use in facilitating the safety of ae</w:t>
            </w:r>
            <w:r w:rsidRPr="00132CDE">
              <w:t>rodrome works and works site access</w:t>
            </w:r>
          </w:p>
          <w:p w:rsidR="00000000" w:rsidRPr="00132CDE" w:rsidP="00132CDE">
            <w:pPr>
              <w:pStyle w:val="ListBullet"/>
            </w:pPr>
            <w:r w:rsidRPr="00132CDE">
              <w:t>different operating conditions, including:</w:t>
            </w:r>
          </w:p>
          <w:p w:rsidR="00000000" w:rsidRPr="00132CDE" w:rsidP="00132CDE">
            <w:pPr>
              <w:pStyle w:val="ListBullet2"/>
            </w:pPr>
            <w:r w:rsidRPr="00132CDE">
              <w:t>all weather conditions</w:t>
            </w:r>
          </w:p>
          <w:p w:rsidR="00000000" w:rsidRPr="00132CDE" w:rsidP="00132CDE">
            <w:pPr>
              <w:pStyle w:val="ListBullet2"/>
            </w:pPr>
            <w:r w:rsidRPr="00132CDE">
              <w:t>day or night</w:t>
            </w:r>
          </w:p>
          <w:p w:rsidR="00000000" w:rsidRPr="00132CDE" w:rsidP="00132CDE">
            <w:pPr>
              <w:pStyle w:val="ListBullet2"/>
            </w:pPr>
            <w:r w:rsidRPr="00132CDE">
              <w:t>variety of terrain conditions</w:t>
            </w:r>
          </w:p>
          <w:p w:rsidR="00000000" w:rsidRPr="00132CDE" w:rsidP="00132CDE">
            <w:pPr>
              <w:pStyle w:val="ListBullet2"/>
            </w:pPr>
            <w:r w:rsidRPr="00132CDE">
              <w:t>various forms of transport, such as vehicles and other motorised/towed equipment</w:t>
            </w:r>
          </w:p>
          <w:p w:rsidR="00000000" w:rsidRPr="00132CDE" w:rsidP="00132CDE">
            <w:pPr>
              <w:pStyle w:val="ListBullet"/>
            </w:pPr>
            <w:r w:rsidRPr="00132CDE">
              <w:t>functions of a works safety officer</w:t>
            </w:r>
          </w:p>
          <w:p w:rsidR="00000000" w:rsidRPr="00132CDE" w:rsidP="00132CDE">
            <w:pPr>
              <w:pStyle w:val="ListBullet"/>
            </w:pPr>
            <w:r w:rsidRPr="00132CDE">
              <w:t>inspection of personnel, including:</w:t>
            </w:r>
          </w:p>
          <w:p w:rsidR="00000000" w:rsidRPr="00132CDE" w:rsidP="00132CDE">
            <w:pPr>
              <w:pStyle w:val="ListBullet2"/>
            </w:pPr>
            <w:r w:rsidRPr="00132CDE">
              <w:t>confirmation of authorisation to enter airside</w:t>
            </w:r>
          </w:p>
          <w:p w:rsidR="00000000" w:rsidRPr="00132CDE" w:rsidP="00132CDE">
            <w:pPr>
              <w:pStyle w:val="ListBullet2"/>
            </w:pPr>
            <w:r w:rsidRPr="00132CDE">
              <w:t>confirmation of appropriate licence to operate vehicles and equipment</w:t>
            </w:r>
          </w:p>
          <w:p w:rsidR="00000000" w:rsidRPr="00132CDE" w:rsidP="00132CDE">
            <w:pPr>
              <w:pStyle w:val="ListBullet"/>
            </w:pPr>
            <w:r w:rsidRPr="00132CDE">
              <w:t>aerodrome markings and signage</w:t>
            </w:r>
          </w:p>
          <w:p w:rsidR="00000000" w:rsidRPr="00132CDE" w:rsidP="00132CDE">
            <w:pPr>
              <w:pStyle w:val="ListBullet"/>
            </w:pPr>
            <w:r w:rsidRPr="00132CDE">
              <w:t>aerodrome speed limits</w:t>
            </w:r>
          </w:p>
          <w:p w:rsidR="00000000" w:rsidRPr="00132CDE" w:rsidP="00132CDE">
            <w:pPr>
              <w:pStyle w:val="ListBullet"/>
            </w:pPr>
            <w:r w:rsidRPr="00132CDE">
              <w:t>aerodrome t</w:t>
            </w:r>
            <w:r w:rsidRPr="00132CDE">
              <w:t>erminology, signs and radio instructions</w:t>
            </w:r>
          </w:p>
          <w:p w:rsidR="00000000" w:rsidRPr="00132CDE" w:rsidP="00132CDE">
            <w:pPr>
              <w:pStyle w:val="ListBullet"/>
            </w:pPr>
            <w:r w:rsidRPr="00132CDE">
              <w:t>directions from works safety officer</w:t>
            </w:r>
          </w:p>
          <w:p w:rsidR="00000000" w:rsidRPr="00132CDE" w:rsidP="00132CDE">
            <w:pPr>
              <w:pStyle w:val="ListBullet"/>
            </w:pPr>
            <w:r w:rsidRPr="00132CDE">
              <w:t>required vehicle marking and lighting requirements</w:t>
            </w:r>
          </w:p>
          <w:p w:rsidR="00000000" w:rsidRPr="00132CDE" w:rsidP="00132CDE">
            <w:pPr>
              <w:pStyle w:val="ListBullet"/>
            </w:pPr>
            <w:r w:rsidRPr="00132CDE">
              <w:t>vehicle restriction zones around aircraft, navigation beacons and lights</w:t>
            </w:r>
          </w:p>
          <w:p w:rsidR="00000000" w:rsidRPr="00132CDE" w:rsidP="00132CDE">
            <w:pPr>
              <w:pStyle w:val="ListBullet"/>
            </w:pPr>
            <w:r w:rsidRPr="00132CDE">
              <w:t>operation of airband radio equipment</w:t>
            </w:r>
          </w:p>
          <w:p w:rsidR="00000000" w:rsidRPr="00132CDE" w:rsidP="00132CDE">
            <w:pPr>
              <w:pStyle w:val="ListBullet"/>
            </w:pPr>
            <w:r w:rsidRPr="00132CDE">
              <w:t>physical characte</w:t>
            </w:r>
            <w:r w:rsidRPr="00132CDE">
              <w:t>ristics of aircraft</w:t>
            </w:r>
          </w:p>
          <w:p w:rsidR="00000000" w:rsidRPr="00132CDE" w:rsidP="00132CDE">
            <w:pPr>
              <w:pStyle w:val="ListBullet"/>
            </w:pPr>
            <w:r w:rsidRPr="00132CDE">
              <w:t>problems, safety hazards and risks that may occur when facilitating the safety of aerodrome works and works site access and related assessment/management measures that may need to be taken</w:t>
            </w:r>
          </w:p>
          <w:p w:rsidR="00000000" w:rsidRPr="00132CDE" w:rsidP="00132CDE">
            <w:pPr>
              <w:pStyle w:val="ListBullet"/>
            </w:pPr>
            <w:r w:rsidRPr="00132CDE">
              <w:t>processes for the safe conduct of works, includ</w:t>
            </w:r>
            <w:r w:rsidRPr="00132CDE">
              <w:t>ing:</w:t>
            </w:r>
          </w:p>
          <w:p w:rsidR="00000000" w:rsidRPr="00132CDE" w:rsidP="00132CDE">
            <w:pPr>
              <w:pStyle w:val="ListBullet2"/>
            </w:pPr>
            <w:r w:rsidRPr="00132CDE">
              <w:t>identifying safe work vehicle movement areas</w:t>
            </w:r>
          </w:p>
          <w:p w:rsidR="00000000" w:rsidRPr="00132CDE" w:rsidP="00132CDE">
            <w:pPr>
              <w:pStyle w:val="ListBullet2"/>
            </w:pPr>
            <w:r w:rsidRPr="00132CDE">
              <w:t>instructing work personnel</w:t>
            </w:r>
          </w:p>
          <w:p w:rsidR="00000000" w:rsidRPr="00132CDE" w:rsidP="00132CDE">
            <w:pPr>
              <w:pStyle w:val="ListBullet2"/>
            </w:pPr>
            <w:r w:rsidRPr="00132CDE">
              <w:t>work procedures</w:t>
            </w:r>
          </w:p>
          <w:p w:rsidR="00000000" w:rsidRPr="00132CDE" w:rsidP="00132CDE">
            <w:pPr>
              <w:pStyle w:val="ListBullet"/>
            </w:pPr>
            <w:r w:rsidRPr="00132CDE">
              <w:t>procedures for making movement area safe for aerodrome works, including:</w:t>
            </w:r>
          </w:p>
          <w:p w:rsidR="00000000" w:rsidRPr="00132CDE" w:rsidP="00132CDE">
            <w:pPr>
              <w:pStyle w:val="ListBullet2"/>
            </w:pPr>
            <w:r w:rsidRPr="00132CDE">
              <w:t>accessing current weather information and public/aviation forecasts applicable to works site as required</w:t>
            </w:r>
          </w:p>
          <w:p w:rsidR="00000000" w:rsidRPr="00132CDE" w:rsidP="00132CDE">
            <w:pPr>
              <w:pStyle w:val="ListBullet2"/>
            </w:pPr>
            <w:r w:rsidRPr="00132CDE">
              <w:t>closing aerodrome to all air traffic</w:t>
            </w:r>
          </w:p>
          <w:p w:rsidR="00000000" w:rsidRPr="00132CDE" w:rsidP="00132CDE">
            <w:pPr>
              <w:pStyle w:val="ListBullet2"/>
            </w:pPr>
            <w:r w:rsidRPr="00132CDE">
              <w:t>closing the movement area (aerodrome closure)</w:t>
            </w:r>
          </w:p>
          <w:p w:rsidR="00000000" w:rsidRPr="00132CDE" w:rsidP="00132CDE">
            <w:pPr>
              <w:pStyle w:val="ListBullet2"/>
            </w:pPr>
            <w:r w:rsidRPr="00132CDE">
              <w:t>contacting aerodrome users</w:t>
            </w:r>
          </w:p>
          <w:p w:rsidR="00000000" w:rsidRPr="00132CDE" w:rsidP="00132CDE">
            <w:pPr>
              <w:pStyle w:val="ListBullet2"/>
            </w:pPr>
            <w:r w:rsidRPr="00132CDE">
              <w:t>ensuring lighting required to carry out w</w:t>
            </w:r>
            <w:r w:rsidRPr="00132CDE">
              <w:t>orks does not represent a hazard to aircraft operations</w:t>
            </w:r>
          </w:p>
          <w:p w:rsidR="00000000" w:rsidRPr="00132CDE" w:rsidP="00132CDE">
            <w:pPr>
              <w:pStyle w:val="ListBullet2"/>
            </w:pPr>
            <w:r w:rsidRPr="00132CDE">
              <w:t>extinguishing lighting to hazardous section of movement area</w:t>
            </w:r>
          </w:p>
          <w:p w:rsidR="00000000" w:rsidRPr="00132CDE" w:rsidP="00132CDE">
            <w:pPr>
              <w:pStyle w:val="ListBullet2"/>
            </w:pPr>
            <w:r w:rsidRPr="00132CDE">
              <w:t>marking unserviceable area/s</w:t>
            </w:r>
          </w:p>
          <w:p w:rsidR="00000000" w:rsidRPr="00132CDE" w:rsidP="00132CDE">
            <w:pPr>
              <w:pStyle w:val="ListBullet2"/>
            </w:pPr>
            <w:r w:rsidRPr="00132CDE">
              <w:t>partial closure of movement area</w:t>
            </w:r>
          </w:p>
          <w:p w:rsidR="00000000" w:rsidRPr="00132CDE" w:rsidP="00132CDE">
            <w:pPr>
              <w:pStyle w:val="ListBullet"/>
            </w:pPr>
            <w:r w:rsidRPr="00132CDE">
              <w:t>purpose and application of aerodrome markers, markings and temporary lightin</w:t>
            </w:r>
            <w:r w:rsidRPr="00132CDE">
              <w:t>g</w:t>
            </w:r>
          </w:p>
          <w:p w:rsidR="00000000" w:rsidRPr="00132CDE" w:rsidP="00132CDE">
            <w:pPr>
              <w:pStyle w:val="ListBullet"/>
            </w:pPr>
            <w:r w:rsidRPr="00132CDE">
              <w:t>purpose and application of MOWP</w:t>
            </w:r>
          </w:p>
          <w:p w:rsidR="00000000" w:rsidRPr="00132CDE" w:rsidP="00132CDE">
            <w:pPr>
              <w:pStyle w:val="ListBullet"/>
            </w:pPr>
            <w:r w:rsidRPr="00132CDE">
              <w:t>reporting procedures</w:t>
            </w:r>
          </w:p>
          <w:p w:rsidR="00000000" w:rsidRPr="00132CDE" w:rsidP="00132CDE">
            <w:pPr>
              <w:pStyle w:val="ListBullet"/>
            </w:pPr>
            <w:r w:rsidRPr="00132CDE">
              <w:t>relevant authorities for reporting purposes, including:</w:t>
            </w:r>
          </w:p>
          <w:p w:rsidR="00000000" w:rsidRPr="00132CDE" w:rsidP="00132CDE">
            <w:pPr>
              <w:pStyle w:val="ListBullet2"/>
            </w:pPr>
            <w:r w:rsidRPr="00132CDE">
              <w:t>aerodrome operator or delegated person</w:t>
            </w:r>
          </w:p>
          <w:p w:rsidR="00000000" w:rsidRPr="00132CDE" w:rsidP="00132CDE">
            <w:pPr>
              <w:pStyle w:val="ListBullet2"/>
            </w:pPr>
            <w:r w:rsidRPr="00132CDE">
              <w:t>aerodrome users</w:t>
            </w:r>
          </w:p>
          <w:p w:rsidR="00000000" w:rsidRPr="00132CDE" w:rsidP="00132CDE">
            <w:pPr>
              <w:pStyle w:val="ListBullet2"/>
            </w:pPr>
            <w:r w:rsidRPr="00132CDE">
              <w:t>air traffic control (ATC)</w:t>
            </w:r>
          </w:p>
          <w:p w:rsidR="00000000" w:rsidRPr="00132CDE" w:rsidP="00132CDE">
            <w:pPr>
              <w:pStyle w:val="ListBullet2"/>
            </w:pPr>
            <w:r w:rsidRPr="00132CDE">
              <w:t>Australian Defence Forces for military bases</w:t>
            </w:r>
          </w:p>
          <w:p w:rsidR="00000000" w:rsidRPr="00132CDE" w:rsidP="00132CDE">
            <w:pPr>
              <w:pStyle w:val="ListBullet2"/>
            </w:pPr>
            <w:r w:rsidRPr="00132CDE">
              <w:t>Civil Aviation Safety Authority (CASA)</w:t>
            </w:r>
          </w:p>
          <w:p w:rsidR="00000000" w:rsidRPr="00132CDE" w:rsidP="00132CDE">
            <w:pPr>
              <w:pStyle w:val="ListBullet2"/>
            </w:pPr>
            <w:r w:rsidRPr="00132CDE">
              <w:t>NOTAM Office (Airservices Australia)</w:t>
            </w:r>
          </w:p>
          <w:p w:rsidR="00000000" w:rsidRPr="00132CDE" w:rsidP="00132CDE">
            <w:pPr>
              <w:pStyle w:val="ListBullet"/>
            </w:pPr>
            <w:r w:rsidRPr="00132CDE">
              <w:t>relevant information/documents, including:</w:t>
            </w:r>
          </w:p>
          <w:p w:rsidR="00000000" w:rsidRPr="00132CDE" w:rsidP="00132CDE">
            <w:pPr>
              <w:pStyle w:val="ListBullet2"/>
            </w:pPr>
            <w:r w:rsidRPr="00132CDE">
              <w:t>aerodrome emergency plan (AEP) and procedures to be followed for each aerodrome emergency</w:t>
            </w:r>
          </w:p>
          <w:p w:rsidR="00000000" w:rsidRPr="00132CDE" w:rsidP="00132CDE">
            <w:pPr>
              <w:pStyle w:val="ListBullet2"/>
            </w:pPr>
            <w:r w:rsidRPr="00132CDE">
              <w:t>aerodrome drug and alcohol management plan (D</w:t>
            </w:r>
            <w:r w:rsidRPr="00132CDE">
              <w:t>AMP)</w:t>
            </w:r>
          </w:p>
          <w:p w:rsidR="00000000" w:rsidRPr="00132CDE" w:rsidP="00132CDE">
            <w:pPr>
              <w:pStyle w:val="ListBullet2"/>
            </w:pPr>
            <w:r w:rsidRPr="00132CDE">
              <w:t>aerodrome manual</w:t>
            </w:r>
          </w:p>
          <w:p w:rsidR="00000000" w:rsidRPr="00132CDE" w:rsidP="00132CDE">
            <w:pPr>
              <w:pStyle w:val="ListBullet2"/>
            </w:pPr>
            <w:r w:rsidRPr="00132CDE">
              <w:t>aerodrome SMS and safety/security policies, and principles of risk assessment and risk management</w:t>
            </w:r>
          </w:p>
          <w:p w:rsidR="00000000" w:rsidRPr="00132CDE" w:rsidP="00132CDE">
            <w:pPr>
              <w:pStyle w:val="ListBullet2"/>
            </w:pPr>
            <w:r w:rsidRPr="00132CDE">
              <w:t>aerodrome transport security plan (TSP)</w:t>
            </w:r>
          </w:p>
          <w:p w:rsidR="00000000" w:rsidRPr="00132CDE" w:rsidP="00132CDE">
            <w:pPr>
              <w:pStyle w:val="ListBullet2"/>
            </w:pPr>
            <w:r w:rsidRPr="00132CDE">
              <w:t>airline timetables</w:t>
            </w:r>
          </w:p>
          <w:p w:rsidR="00000000" w:rsidRPr="00132CDE" w:rsidP="00132CDE">
            <w:pPr>
              <w:pStyle w:val="ListBullet2"/>
            </w:pPr>
            <w:r w:rsidRPr="00132CDE">
              <w:t>airside driver handbook and/or airside driving requirements for the aerodrome</w:t>
            </w:r>
          </w:p>
          <w:p w:rsidR="00000000" w:rsidRPr="00132CDE" w:rsidP="00132CDE">
            <w:pPr>
              <w:pStyle w:val="ListBullet2"/>
            </w:pPr>
            <w:r w:rsidRPr="00132CDE">
              <w:t>Australian Standards</w:t>
            </w:r>
          </w:p>
          <w:p w:rsidR="00000000" w:rsidRPr="00132CDE" w:rsidP="00132CDE">
            <w:pPr>
              <w:pStyle w:val="ListBullet2"/>
            </w:pPr>
            <w:r w:rsidRPr="00132CDE">
              <w:t>Civil Aviation Safety Regulations (CASRs)</w:t>
            </w:r>
          </w:p>
          <w:p w:rsidR="00000000" w:rsidRPr="00132CDE" w:rsidP="00132CDE">
            <w:pPr>
              <w:pStyle w:val="ListBullet2"/>
            </w:pPr>
            <w:r w:rsidRPr="00132CDE">
              <w:t>conditions of service, legislation and industrial agreements, including workplace agreements and awards</w:t>
            </w:r>
          </w:p>
          <w:p w:rsidR="00000000" w:rsidRPr="00132CDE" w:rsidP="00132CDE">
            <w:pPr>
              <w:pStyle w:val="ListBullet2"/>
            </w:pPr>
            <w:r w:rsidRPr="00132CDE">
              <w:t>induction and training materials</w:t>
            </w:r>
          </w:p>
          <w:p w:rsidR="00000000" w:rsidRPr="00132CDE" w:rsidP="00132CDE">
            <w:pPr>
              <w:pStyle w:val="ListBullet2"/>
            </w:pPr>
            <w:r w:rsidRPr="00132CDE">
              <w:t>logbooks</w:t>
            </w:r>
          </w:p>
          <w:p w:rsidR="00000000" w:rsidRPr="00132CDE" w:rsidP="00132CDE">
            <w:pPr>
              <w:pStyle w:val="ListBullet2"/>
            </w:pPr>
            <w:r w:rsidRPr="00132CDE">
              <w:t>Manual of Standards (MOS) Part 139 – Aerodrome</w:t>
            </w:r>
            <w:r w:rsidRPr="00132CDE">
              <w:t>s</w:t>
            </w:r>
          </w:p>
          <w:p w:rsidR="00000000" w:rsidRPr="00132CDE" w:rsidP="00132CDE">
            <w:pPr>
              <w:pStyle w:val="ListBullet2"/>
            </w:pPr>
            <w:r w:rsidRPr="00132CDE">
              <w:t>NOTAM</w:t>
            </w:r>
          </w:p>
          <w:p w:rsidR="00000000" w:rsidRPr="00132CDE" w:rsidP="00132CDE">
            <w:pPr>
              <w:pStyle w:val="ListBullet2"/>
            </w:pPr>
            <w:r w:rsidRPr="00132CDE">
              <w:t>operational checklists</w:t>
            </w:r>
          </w:p>
          <w:p w:rsidR="00000000" w:rsidRPr="00132CDE" w:rsidP="00132CDE">
            <w:pPr>
              <w:pStyle w:val="ListBullet2"/>
            </w:pPr>
            <w:r w:rsidRPr="00132CDE">
              <w:t>plans and maps</w:t>
            </w:r>
          </w:p>
          <w:p w:rsidR="00000000" w:rsidRPr="00132CDE" w:rsidP="00132CDE">
            <w:pPr>
              <w:pStyle w:val="ListBullet2"/>
            </w:pPr>
            <w:r w:rsidRPr="00132CDE">
              <w:t>relevant forms and databases</w:t>
            </w:r>
          </w:p>
          <w:p w:rsidR="00000000" w:rsidRPr="00132CDE" w:rsidP="00132CDE">
            <w:pPr>
              <w:pStyle w:val="ListBullet2"/>
            </w:pPr>
            <w:r w:rsidRPr="00132CDE">
              <w:t>safety data sheets (SDSs)/materials safety data sheets (MSDSs) for hazardous materials</w:t>
            </w:r>
          </w:p>
          <w:p w:rsidR="00000000" w:rsidRPr="00132CDE" w:rsidP="00132CDE">
            <w:pPr>
              <w:pStyle w:val="ListBullet2"/>
            </w:pPr>
            <w:r w:rsidRPr="00132CDE">
              <w:t>workplace procedures</w:t>
            </w:r>
          </w:p>
          <w:p w:rsidR="00000000" w:rsidRPr="00132CDE" w:rsidP="00132CDE">
            <w:pPr>
              <w:pStyle w:val="ListBullet"/>
            </w:pPr>
            <w:r w:rsidRPr="00132CDE">
              <w:t>relevant legislative and regulatory requirements relating to facilitatin</w:t>
            </w:r>
            <w:r w:rsidRPr="00132CDE">
              <w:t>g the safety of aerodrome works identified in:</w:t>
            </w:r>
          </w:p>
          <w:p w:rsidR="00000000" w:rsidRPr="00132CDE" w:rsidP="00132CDE">
            <w:pPr>
              <w:pStyle w:val="ListBullet2"/>
            </w:pPr>
            <w:r w:rsidRPr="00132CDE">
              <w:t>CASRs and MOS Part 139 – Aerodrome</w:t>
            </w:r>
          </w:p>
          <w:p w:rsidR="00000000" w:rsidRPr="00132CDE" w:rsidP="00132CDE">
            <w:pPr>
              <w:pStyle w:val="ListBullet2"/>
            </w:pPr>
            <w:r w:rsidRPr="00132CDE">
              <w:t>Defence Orders and Instructions</w:t>
            </w:r>
          </w:p>
          <w:p w:rsidR="00000000" w:rsidRPr="00132CDE" w:rsidP="00132CDE">
            <w:pPr>
              <w:pStyle w:val="ListBullet2"/>
            </w:pPr>
            <w:r w:rsidRPr="00132CDE">
              <w:t>environmental sustainability</w:t>
            </w:r>
          </w:p>
          <w:p w:rsidR="00000000" w:rsidRPr="00132CDE" w:rsidP="00132CDE">
            <w:pPr>
              <w:pStyle w:val="ListBullet2"/>
            </w:pPr>
            <w:r w:rsidRPr="00132CDE">
              <w:t>standards and recommended practices (SARPs) of the International Civil Aviation Organization (ICAO)</w:t>
            </w:r>
          </w:p>
          <w:p w:rsidR="00000000" w:rsidRPr="00132CDE" w:rsidP="00132CDE">
            <w:pPr>
              <w:pStyle w:val="ListBullet2"/>
            </w:pPr>
            <w:r w:rsidRPr="00132CDE">
              <w:t>workplace relations</w:t>
            </w:r>
          </w:p>
          <w:p w:rsidR="00000000" w:rsidRPr="00132CDE" w:rsidP="00132CDE">
            <w:pPr>
              <w:pStyle w:val="ListBullet2"/>
            </w:pPr>
            <w:r w:rsidRPr="00132CDE">
              <w:t>WHS/OHS and environmental, procedures and regulations, including DAMP</w:t>
            </w:r>
          </w:p>
          <w:p w:rsidR="00000000" w:rsidRPr="00132CDE" w:rsidP="00132CDE">
            <w:pPr>
              <w:pStyle w:val="ListBullet"/>
            </w:pPr>
            <w:r w:rsidRPr="00132CDE">
              <w:t>reporting procedures</w:t>
            </w:r>
          </w:p>
          <w:p w:rsidR="00000000" w:rsidRPr="00132CDE" w:rsidP="00132CDE">
            <w:pPr>
              <w:pStyle w:val="ListBullet"/>
            </w:pPr>
            <w:r w:rsidRPr="00132CDE">
              <w:t>requirements for completing relevant documentation and/or incident reporting</w:t>
            </w:r>
          </w:p>
          <w:p w:rsidR="00000000" w:rsidRPr="00132CDE" w:rsidP="00132CDE">
            <w:pPr>
              <w:pStyle w:val="ListBullet"/>
            </w:pPr>
            <w:r w:rsidRPr="00132CDE">
              <w:t>safety distances required from an aircraft wingtip to objects, incl</w:t>
            </w:r>
            <w:r w:rsidRPr="00132CDE">
              <w:t>uding other aircraft</w:t>
            </w:r>
          </w:p>
          <w:p w:rsidR="00000000" w:rsidRPr="00132CDE" w:rsidP="00132CDE">
            <w:pPr>
              <w:pStyle w:val="ListBullet"/>
            </w:pPr>
            <w:r w:rsidRPr="00132CDE">
              <w:t>signs and notices, including:</w:t>
            </w:r>
          </w:p>
          <w:p w:rsidR="00000000" w:rsidRPr="00132CDE" w:rsidP="00132CDE">
            <w:pPr>
              <w:pStyle w:val="ListBullet2"/>
            </w:pPr>
            <w:r w:rsidRPr="00132CDE">
              <w:t>hazard warnings</w:t>
            </w:r>
          </w:p>
          <w:p w:rsidR="00000000" w:rsidRPr="00132CDE" w:rsidP="00132CDE">
            <w:pPr>
              <w:pStyle w:val="ListBullet2"/>
            </w:pPr>
            <w:r w:rsidRPr="00132CDE">
              <w:t>limited access</w:t>
            </w:r>
          </w:p>
          <w:p w:rsidR="00000000" w:rsidRPr="00132CDE" w:rsidP="00132CDE">
            <w:pPr>
              <w:pStyle w:val="ListBullet2"/>
            </w:pPr>
            <w:r w:rsidRPr="00132CDE">
              <w:t>movement area guidance signs</w:t>
            </w:r>
          </w:p>
          <w:p w:rsidR="00000000" w:rsidRPr="00132CDE" w:rsidP="00132CDE">
            <w:pPr>
              <w:pStyle w:val="ListBullet2"/>
            </w:pPr>
            <w:r w:rsidRPr="00132CDE">
              <w:t>no smoking</w:t>
            </w:r>
          </w:p>
          <w:p w:rsidR="00000000" w:rsidRPr="00132CDE" w:rsidP="00132CDE">
            <w:pPr>
              <w:pStyle w:val="ListBullet2"/>
            </w:pPr>
            <w:r w:rsidRPr="00132CDE">
              <w:t>speed restrictions</w:t>
            </w:r>
          </w:p>
          <w:p w:rsidR="00000000" w:rsidRPr="00132CDE" w:rsidP="00132CDE">
            <w:pPr>
              <w:pStyle w:val="ListBullet2"/>
            </w:pPr>
            <w:r w:rsidRPr="00132CDE">
              <w:t>unauthorised entry</w:t>
            </w:r>
          </w:p>
          <w:p w:rsidR="00000000" w:rsidRPr="00132CDE" w:rsidP="00132CDE">
            <w:pPr>
              <w:pStyle w:val="ListBullet2"/>
            </w:pPr>
            <w:r w:rsidRPr="00132CDE">
              <w:t>underground electrical reticulation</w:t>
            </w:r>
          </w:p>
          <w:p w:rsidR="00000000" w:rsidRPr="00132CDE" w:rsidP="00132CDE">
            <w:pPr>
              <w:pStyle w:val="ListBullet"/>
            </w:pPr>
            <w:r w:rsidRPr="00132CDE">
              <w:t>suitable means of reporting the conduct of works, including:</w:t>
            </w:r>
          </w:p>
          <w:p w:rsidR="00000000" w:rsidRPr="00132CDE" w:rsidP="00132CDE">
            <w:pPr>
              <w:pStyle w:val="ListBullet2"/>
            </w:pPr>
            <w:r w:rsidRPr="00132CDE">
              <w:t>MOWP</w:t>
            </w:r>
          </w:p>
          <w:p w:rsidR="00000000" w:rsidRPr="00132CDE" w:rsidP="00132CDE">
            <w:pPr>
              <w:pStyle w:val="ListBullet2"/>
            </w:pPr>
            <w:r w:rsidRPr="00132CDE">
              <w:t>NOTAM</w:t>
            </w:r>
          </w:p>
          <w:p w:rsidR="00000000" w:rsidRPr="00132CDE" w:rsidP="00132CDE">
            <w:pPr>
              <w:pStyle w:val="ListBullet2"/>
            </w:pPr>
            <w:r w:rsidRPr="00132CDE">
              <w:t>other written means of communications as appropriate</w:t>
            </w:r>
          </w:p>
          <w:p w:rsidR="00000000" w:rsidRPr="00132CDE" w:rsidP="00132CDE">
            <w:pPr>
              <w:pStyle w:val="ListBullet2"/>
            </w:pPr>
            <w:r w:rsidRPr="00132CDE">
              <w:t>verbal communication</w:t>
            </w:r>
          </w:p>
          <w:p w:rsidR="00000000" w:rsidRPr="00132CDE" w:rsidP="00132CDE">
            <w:pPr>
              <w:pStyle w:val="ListBullet"/>
            </w:pPr>
            <w:r w:rsidRPr="00132CDE">
              <w:t>weather information and its implications for workplace operations</w:t>
            </w:r>
          </w:p>
          <w:p w:rsidR="00000000" w:rsidRPr="00132CDE" w:rsidP="00132CDE">
            <w:pPr>
              <w:pStyle w:val="ListBullet"/>
            </w:pPr>
            <w:r w:rsidRPr="00132CDE">
              <w:t>when serviceability inspections may need t</w:t>
            </w:r>
            <w:r w:rsidRPr="00132CDE">
              <w:t>o occur</w:t>
            </w:r>
          </w:p>
          <w:p w:rsidR="00000000" w:rsidRPr="00132CDE" w:rsidP="00132CDE">
            <w:pPr>
              <w:pStyle w:val="ListBullet"/>
            </w:pPr>
            <w:r w:rsidRPr="00132CDE">
              <w:t>workplace procedures for facilitating the safety of aerodrome works and works site access.</w:t>
            </w:r>
          </w:p>
        </w:tc>
      </w:tr>
    </w:tbl>
    <w:p w:rsidR="00000000" w:rsidRPr="00132CDE" w:rsidP="00132CDE">
      <w:pPr>
        <w:pStyle w:val="NoPaddingFontSize1"/>
      </w:pPr>
    </w:p>
    <w:p w:rsidR="00000000" w:rsidRPr="00132CDE" w:rsidP="00132CDE">
      <w:pPr>
        <w:pStyle w:val="AllowPageBreak"/>
      </w:pPr>
    </w:p>
    <w:p w:rsidR="00000000" w:rsidRPr="00132CDE" w:rsidP="00132CDE">
      <w:pPr>
        <w:pStyle w:val="Heading1"/>
      </w:pPr>
      <w:bookmarkStart w:id="4" w:name="O_1025816"/>
      <w:bookmarkEnd w:id="4"/>
      <w:r w:rsidRPr="00132CDE">
        <w:t>Assessment Conditions</w:t>
      </w:r>
    </w:p>
    <w:tbl>
      <w:tblPr>
        <w:tblW w:w="9497" w:type="dxa"/>
        <w:tblLayout w:type="fixed"/>
        <w:tblCellMar>
          <w:left w:w="62" w:type="dxa"/>
          <w:right w:w="62" w:type="dxa"/>
        </w:tblCellMar>
        <w:tblLook w:val="0000"/>
      </w:tblPr>
      <w:tblGrid>
        <w:gridCol w:w="9497"/>
      </w:tblGrid>
      <w:tr w:rsidTr="00132C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CDE" w:rsidP="00132CDE">
            <w:pPr>
              <w:pStyle w:val="BodyText"/>
            </w:pPr>
            <w:r w:rsidRPr="00132CDE">
              <w:t>Assessors must hold credentials specified within the Standards for Registered Training Organisations current at the time of assessment.</w:t>
            </w:r>
          </w:p>
          <w:p w:rsidR="00000000" w:rsidRPr="00132CDE" w:rsidP="00132CDE">
            <w:pPr>
              <w:pStyle w:val="BodyText"/>
            </w:pPr>
            <w:r w:rsidRPr="00132CDE">
              <w:t>Assessment must satisfy the Principles of Assessment and Rules of Evidence and all regulatory requirements included with</w:t>
            </w:r>
            <w:r w:rsidRPr="00132CDE">
              <w:t>in the Standards for Registered Training Organisations current at the time of assessment.</w:t>
            </w:r>
          </w:p>
          <w:p w:rsidR="00000000" w:rsidRPr="00132CDE" w:rsidP="00132CDE">
            <w:pPr>
              <w:pStyle w:val="BodyText"/>
            </w:pPr>
            <w:r w:rsidRPr="00132CDE">
              <w:t>Assessment must occur in workplace operational situations. Where this is not appropriate, assessment must occur in simulated workplace operational situations that ref</w:t>
            </w:r>
            <w:r w:rsidRPr="00132CDE">
              <w:t>lect workplace conditions.</w:t>
            </w:r>
          </w:p>
          <w:p w:rsidR="00000000" w:rsidRPr="00132CDE" w:rsidP="00132CDE">
            <w:pPr>
              <w:pStyle w:val="BodyText"/>
            </w:pPr>
            <w:r w:rsidRPr="00132CDE">
              <w:t>Assessment processes and techniques must be appropriate to the language, literacy and numeracy requirements of the work being performed and the needs of the candidate.</w:t>
            </w:r>
          </w:p>
          <w:p w:rsidR="00000000" w:rsidRPr="00132CDE" w:rsidP="00132CDE">
            <w:pPr>
              <w:pStyle w:val="BodyText"/>
            </w:pPr>
            <w:r w:rsidRPr="00132CDE">
              <w:t>Resources for assessment must include access to:</w:t>
            </w:r>
          </w:p>
          <w:p w:rsidR="00000000" w:rsidRPr="00132CDE" w:rsidP="00132CDE">
            <w:pPr>
              <w:pStyle w:val="ListBullet"/>
            </w:pPr>
            <w:r w:rsidRPr="00132CDE">
              <w:t xml:space="preserve">a range of </w:t>
            </w:r>
            <w:r w:rsidRPr="00132CDE">
              <w:t>relevant exercises, case studies and/or simulations</w:t>
            </w:r>
          </w:p>
          <w:p w:rsidR="00000000" w:rsidRPr="00132CDE" w:rsidP="00132CDE">
            <w:pPr>
              <w:pStyle w:val="ListBullet"/>
            </w:pPr>
            <w:r w:rsidRPr="00132CDE">
              <w:t>acceptable means of simulation assessment</w:t>
            </w:r>
          </w:p>
          <w:p w:rsidR="00000000" w:rsidRPr="00132CDE" w:rsidP="00132CDE">
            <w:pPr>
              <w:pStyle w:val="ListBullet"/>
            </w:pPr>
            <w:r w:rsidRPr="00132CDE">
              <w:t>applicable documentation, including workplace procedures, regulations, codes of practice and operation manuals</w:t>
            </w:r>
          </w:p>
          <w:p w:rsidR="00000000" w:rsidRPr="00132CDE" w:rsidP="00132CDE">
            <w:pPr>
              <w:pStyle w:val="ListBullet"/>
            </w:pPr>
            <w:r w:rsidRPr="00132CDE">
              <w:t>relevant materials, tools, equipment and PPE curren</w:t>
            </w:r>
            <w:r w:rsidRPr="00132CDE">
              <w:t>tly used in industry.</w:t>
            </w:r>
          </w:p>
        </w:tc>
      </w:tr>
    </w:tbl>
    <w:p w:rsidR="00000000" w:rsidRPr="00132CDE" w:rsidP="00132CDE">
      <w:pPr>
        <w:pStyle w:val="NoPaddingFontSize1"/>
      </w:pPr>
    </w:p>
    <w:p w:rsidR="00000000" w:rsidRPr="00132CDE" w:rsidP="00132CDE">
      <w:pPr>
        <w:pStyle w:val="AllowPageBreak"/>
      </w:pPr>
    </w:p>
    <w:p w:rsidR="00000000" w:rsidRPr="00132CDE" w:rsidP="00132CDE">
      <w:pPr>
        <w:pStyle w:val="Heading1"/>
      </w:pPr>
      <w:bookmarkStart w:id="5" w:name="O_1025819"/>
      <w:bookmarkEnd w:id="5"/>
      <w:r w:rsidRPr="00132CDE">
        <w:t>Links</w:t>
      </w:r>
    </w:p>
    <w:p w:rsidR="00000000" w:rsidRPr="00132CDE" w:rsidP="0098777E">
      <w:pPr>
        <w:pStyle w:val="BodyText"/>
      </w:pPr>
      <w:r w:rsidRPr="00132CD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D700E">
        <w:rPr>
          <w:rStyle w:val="Hyperlink"/>
        </w:rPr>
        <w:t>https://vetnet.gov.au/Pages/TrainingDocs.aspx?q=4725260a-0af3-4daf-912b-ef1c2f3e5816</w:t>
      </w:r>
      <w:r>
        <w:fldChar w:fldCharType="end"/>
      </w:r>
    </w:p>
    <w:p w:rsidR="00000000" w:rsidRPr="00132CDE" w:rsidP="00132CDE"/>
    <w:sectPr w:rsidSect="00132C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DE" w:rsidRPr="0098777E" w:rsidP="009877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7E" w:rsidP="00132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777E" w:rsidP="00132C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777E" w:rsidP="00132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CDE" w:rsidRPr="0098777E" w:rsidP="009877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7E" w:rsidRPr="002D2AF8" w:rsidP="00132CDE">
    <w:pPr>
      <w:pStyle w:val="Header"/>
      <w:framePr w:wrap="around"/>
    </w:pPr>
    <w:r>
      <w:fldChar w:fldCharType="begin"/>
    </w:r>
    <w:r>
      <w:instrText xml:space="preserve"> TITLE   \* MERGEFORMAT </w:instrText>
    </w:r>
    <w:r>
      <w:fldChar w:fldCharType="separate"/>
    </w:r>
    <w:r>
      <w:t>Assessment Requirements for AVIF0045 Facilitate the safety of aerodrome works and works site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8777E" w:rsidP="00132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F60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54B9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2E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CDE"/>
    <w:pPr>
      <w:spacing w:before="360" w:after="60"/>
      <w:outlineLvl w:val="0"/>
    </w:pPr>
    <w:rPr>
      <w:sz w:val="32"/>
    </w:rPr>
  </w:style>
  <w:style w:type="paragraph" w:styleId="Heading2">
    <w:name w:val="heading 2"/>
    <w:basedOn w:val="HeadingBase"/>
    <w:next w:val="BodyText"/>
    <w:link w:val="Heading2Char"/>
    <w:qFormat/>
    <w:rsid w:val="00132CDE"/>
    <w:pPr>
      <w:keepLines/>
      <w:spacing w:before="240" w:after="120"/>
      <w:outlineLvl w:val="1"/>
    </w:pPr>
    <w:rPr>
      <w:sz w:val="28"/>
      <w:szCs w:val="40"/>
    </w:rPr>
  </w:style>
  <w:style w:type="paragraph" w:styleId="Heading3">
    <w:name w:val="heading 3"/>
    <w:basedOn w:val="HeadingBase"/>
    <w:next w:val="BodyText"/>
    <w:link w:val="Heading3Char"/>
    <w:qFormat/>
    <w:rsid w:val="00132CDE"/>
    <w:pPr>
      <w:spacing w:before="180" w:after="120"/>
      <w:outlineLvl w:val="2"/>
    </w:pPr>
    <w:rPr>
      <w:spacing w:val="-10"/>
      <w:kern w:val="32"/>
    </w:rPr>
  </w:style>
  <w:style w:type="paragraph" w:styleId="Heading4">
    <w:name w:val="heading 4"/>
    <w:basedOn w:val="HeadingBase"/>
    <w:next w:val="BodyText"/>
    <w:link w:val="Heading4Char"/>
    <w:qFormat/>
    <w:rsid w:val="00132CDE"/>
    <w:pPr>
      <w:spacing w:before="160" w:after="120"/>
      <w:outlineLvl w:val="3"/>
    </w:pPr>
    <w:rPr>
      <w:sz w:val="22"/>
    </w:rPr>
  </w:style>
  <w:style w:type="paragraph" w:styleId="Heading5">
    <w:name w:val="heading 5"/>
    <w:basedOn w:val="HeadingBase"/>
    <w:next w:val="Normal"/>
    <w:link w:val="Heading5Char"/>
    <w:qFormat/>
    <w:rsid w:val="00132CDE"/>
    <w:pPr>
      <w:spacing w:before="80"/>
      <w:outlineLvl w:val="4"/>
    </w:pPr>
    <w:rPr>
      <w:color w:val="918585"/>
      <w:sz w:val="20"/>
    </w:rPr>
  </w:style>
  <w:style w:type="paragraph" w:styleId="Heading6">
    <w:name w:val="heading 6"/>
    <w:basedOn w:val="HeadingBase"/>
    <w:next w:val="Normal"/>
    <w:link w:val="Heading6Char"/>
    <w:qFormat/>
    <w:rsid w:val="00132CDE"/>
    <w:pPr>
      <w:spacing w:before="60"/>
      <w:outlineLvl w:val="5"/>
    </w:pPr>
    <w:rPr>
      <w:color w:val="918585"/>
      <w:sz w:val="20"/>
    </w:rPr>
  </w:style>
  <w:style w:type="paragraph" w:styleId="Heading7">
    <w:name w:val="heading 7"/>
    <w:basedOn w:val="Normal"/>
    <w:next w:val="Normal"/>
    <w:link w:val="Heading7Char"/>
    <w:qFormat/>
    <w:rsid w:val="00132CDE"/>
    <w:pPr>
      <w:ind w:left="720"/>
      <w:outlineLvl w:val="6"/>
    </w:pPr>
    <w:rPr>
      <w:i/>
    </w:rPr>
  </w:style>
  <w:style w:type="paragraph" w:styleId="Heading8">
    <w:name w:val="heading 8"/>
    <w:basedOn w:val="Normal"/>
    <w:next w:val="Normal"/>
    <w:link w:val="Heading8Char"/>
    <w:qFormat/>
    <w:rsid w:val="00132CDE"/>
    <w:pPr>
      <w:ind w:left="720"/>
      <w:outlineLvl w:val="7"/>
    </w:pPr>
    <w:rPr>
      <w:i/>
    </w:rPr>
  </w:style>
  <w:style w:type="paragraph" w:styleId="Heading9">
    <w:name w:val="heading 9"/>
    <w:basedOn w:val="Normal"/>
    <w:next w:val="Normal"/>
    <w:link w:val="Heading9Char"/>
    <w:qFormat/>
    <w:rsid w:val="00132CDE"/>
    <w:pPr>
      <w:ind w:left="720"/>
      <w:outlineLvl w:val="8"/>
    </w:pPr>
    <w:rPr>
      <w:i/>
    </w:rPr>
  </w:style>
  <w:style w:type="character" w:default="1" w:styleId="DefaultParagraphFont">
    <w:name w:val="Default Paragraph Font"/>
    <w:uiPriority w:val="1"/>
    <w:unhideWhenUsed/>
    <w:rsid w:val="00132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CDE"/>
  </w:style>
  <w:style w:type="character" w:customStyle="1" w:styleId="Heading1Char">
    <w:name w:val="Heading 1 Char"/>
    <w:basedOn w:val="DefaultParagraphFont"/>
    <w:link w:val="Heading1"/>
    <w:rsid w:val="00132CDE"/>
    <w:rPr>
      <w:rFonts w:ascii="Times New Roman" w:eastAsia="Times New Roman" w:hAnsi="Times New Roman" w:cs="Times New Roman"/>
      <w:b/>
      <w:sz w:val="32"/>
      <w:szCs w:val="20"/>
      <w:lang w:eastAsia="en-US"/>
    </w:rPr>
  </w:style>
  <w:style w:type="paragraph" w:styleId="BodyText">
    <w:name w:val="Body Text"/>
    <w:basedOn w:val="Normal"/>
    <w:link w:val="BodyTextChar"/>
    <w:rsid w:val="00132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CDE"/>
    <w:rPr>
      <w:rFonts w:ascii="Times New Roman" w:eastAsia="Times New Roman" w:hAnsi="Times New Roman" w:cs="Times New Roman"/>
      <w:sz w:val="24"/>
      <w:lang w:eastAsia="en-US"/>
    </w:rPr>
  </w:style>
  <w:style w:type="paragraph" w:styleId="ListBullet">
    <w:name w:val="List Bullet"/>
    <w:basedOn w:val="List"/>
    <w:rsid w:val="00132CDE"/>
    <w:pPr>
      <w:numPr>
        <w:numId w:val="12"/>
      </w:numPr>
      <w:tabs>
        <w:tab w:val="clear" w:pos="340"/>
      </w:tabs>
      <w:spacing w:before="40" w:after="40"/>
    </w:pPr>
  </w:style>
  <w:style w:type="paragraph" w:styleId="ListBullet2">
    <w:name w:val="List Bullet 2"/>
    <w:basedOn w:val="List2"/>
    <w:rsid w:val="00132CDE"/>
    <w:pPr>
      <w:numPr>
        <w:numId w:val="13"/>
      </w:numPr>
      <w:tabs>
        <w:tab w:val="clear" w:pos="680"/>
      </w:tabs>
    </w:pPr>
  </w:style>
  <w:style w:type="paragraph" w:customStyle="1" w:styleId="SuperHeading">
    <w:name w:val="SuperHeading"/>
    <w:basedOn w:val="Normal"/>
    <w:rsid w:val="00132CDE"/>
    <w:pPr>
      <w:spacing w:before="240" w:after="120"/>
      <w:outlineLvl w:val="0"/>
    </w:pPr>
    <w:rPr>
      <w:rFonts w:ascii="Times New Roman" w:hAnsi="Times New Roman"/>
      <w:b/>
      <w:sz w:val="32"/>
    </w:rPr>
  </w:style>
  <w:style w:type="paragraph" w:customStyle="1" w:styleId="AllowPageBreak">
    <w:name w:val="AllowPageBreak"/>
    <w:rsid w:val="00132C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2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CDE"/>
    <w:rPr>
      <w:rFonts w:ascii="Courier New" w:eastAsia="Times New Roman" w:hAnsi="Courier New" w:cs="Times New Roman"/>
      <w:i/>
      <w:szCs w:val="20"/>
      <w:lang w:eastAsia="en-US"/>
    </w:rPr>
  </w:style>
  <w:style w:type="paragraph" w:customStyle="1" w:styleId="HeadingBase">
    <w:name w:val="Heading Base"/>
    <w:rsid w:val="00132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CDE"/>
    <w:pPr>
      <w:tabs>
        <w:tab w:val="right" w:leader="dot" w:pos="9072"/>
      </w:tabs>
      <w:ind w:left="567"/>
    </w:pPr>
    <w:rPr>
      <w:szCs w:val="22"/>
    </w:rPr>
  </w:style>
  <w:style w:type="paragraph" w:customStyle="1" w:styleId="TOCBase">
    <w:name w:val="TOC Base"/>
    <w:rsid w:val="00132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CDE"/>
    <w:pPr>
      <w:tabs>
        <w:tab w:val="right" w:leader="dot" w:pos="9072"/>
      </w:tabs>
      <w:spacing w:before="40" w:after="40"/>
      <w:ind w:left="284"/>
    </w:pPr>
    <w:rPr>
      <w:rFonts w:ascii="Times New Roman" w:hAnsi="Times New Roman"/>
    </w:rPr>
  </w:style>
  <w:style w:type="paragraph" w:styleId="TOC1">
    <w:name w:val="toc 1"/>
    <w:basedOn w:val="TOCBase"/>
    <w:next w:val="Normal"/>
    <w:rsid w:val="00132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CDE"/>
    <w:rPr>
      <w:rFonts w:ascii="Times New Roman" w:eastAsia="Times New Roman" w:hAnsi="Times New Roman" w:cs="Times New Roman"/>
      <w:sz w:val="16"/>
      <w:lang w:eastAsia="en-US"/>
    </w:rPr>
  </w:style>
  <w:style w:type="paragraph" w:styleId="Title">
    <w:name w:val="Title"/>
    <w:basedOn w:val="HeadingBase"/>
    <w:link w:val="TitleChar"/>
    <w:qFormat/>
    <w:rsid w:val="00132CDE"/>
    <w:pPr>
      <w:spacing w:before="5040"/>
      <w:jc w:val="center"/>
    </w:pPr>
    <w:rPr>
      <w:sz w:val="48"/>
      <w:szCs w:val="72"/>
      <w:lang w:val="en-US"/>
    </w:rPr>
  </w:style>
  <w:style w:type="character" w:customStyle="1" w:styleId="TitleChar">
    <w:name w:val="Title Char"/>
    <w:basedOn w:val="DefaultParagraphFont"/>
    <w:link w:val="Title"/>
    <w:rsid w:val="00132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CDE"/>
    <w:pPr>
      <w:tabs>
        <w:tab w:val="left" w:pos="3600"/>
        <w:tab w:val="left" w:pos="3958"/>
      </w:tabs>
    </w:pPr>
  </w:style>
  <w:style w:type="paragraph" w:styleId="List">
    <w:name w:val="List"/>
    <w:basedOn w:val="BodyText"/>
    <w:next w:val="BodyText"/>
    <w:rsid w:val="00132CDE"/>
    <w:pPr>
      <w:tabs>
        <w:tab w:val="left" w:pos="340"/>
      </w:tabs>
      <w:spacing w:before="60" w:after="60"/>
      <w:ind w:left="340" w:hanging="340"/>
    </w:pPr>
  </w:style>
  <w:style w:type="paragraph" w:customStyle="1" w:styleId="Note">
    <w:name w:val="Note"/>
    <w:basedOn w:val="BodyText"/>
    <w:rsid w:val="00132C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2CDE"/>
    <w:rPr>
      <w:b/>
      <w:spacing w:val="0"/>
    </w:rPr>
  </w:style>
  <w:style w:type="paragraph" w:customStyle="1" w:styleId="SuperTitle">
    <w:name w:val="SuperTitle"/>
    <w:basedOn w:val="Title"/>
    <w:rsid w:val="00132CDE"/>
    <w:pPr>
      <w:framePr w:wrap="auto" w:hAnchor="text" w:y="6049"/>
    </w:pPr>
    <w:rPr>
      <w:color w:val="000000"/>
      <w:sz w:val="40"/>
    </w:rPr>
  </w:style>
  <w:style w:type="paragraph" w:customStyle="1" w:styleId="TOCTitle">
    <w:name w:val="TOCTitle"/>
    <w:basedOn w:val="Heading1"/>
    <w:rsid w:val="00132CDE"/>
    <w:pPr>
      <w:spacing w:after="240"/>
      <w:jc w:val="center"/>
      <w:outlineLvl w:val="9"/>
    </w:pPr>
    <w:rPr>
      <w:caps/>
    </w:rPr>
  </w:style>
  <w:style w:type="paragraph" w:customStyle="1" w:styleId="Version">
    <w:name w:val="Version"/>
    <w:rsid w:val="00132C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CDE"/>
    <w:pPr>
      <w:keepNext w:val="0"/>
      <w:tabs>
        <w:tab w:val="right" w:pos="4176"/>
      </w:tabs>
      <w:ind w:left="198" w:hanging="198"/>
    </w:pPr>
    <w:rPr>
      <w:rFonts w:ascii="Garamond" w:hAnsi="Garamond"/>
    </w:rPr>
  </w:style>
  <w:style w:type="paragraph" w:styleId="IndexHeading">
    <w:name w:val="index heading"/>
    <w:basedOn w:val="Normal"/>
    <w:next w:val="Index1"/>
    <w:semiHidden/>
    <w:rsid w:val="00132CDE"/>
    <w:pPr>
      <w:spacing w:before="120" w:after="120"/>
    </w:pPr>
    <w:rPr>
      <w:rFonts w:ascii="Arial" w:hAnsi="Arial"/>
      <w:b/>
      <w:color w:val="918585"/>
      <w:sz w:val="24"/>
    </w:rPr>
  </w:style>
  <w:style w:type="paragraph" w:styleId="Header">
    <w:name w:val="header"/>
    <w:basedOn w:val="Normal"/>
    <w:link w:val="HeaderChar"/>
    <w:rsid w:val="00132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CDE"/>
    <w:rPr>
      <w:rFonts w:ascii="Times New Roman" w:eastAsia="Times New Roman" w:hAnsi="Times New Roman" w:cs="Times New Roman"/>
      <w:sz w:val="16"/>
      <w:szCs w:val="20"/>
      <w:lang w:val="en-GB" w:eastAsia="en-US"/>
    </w:rPr>
  </w:style>
  <w:style w:type="paragraph" w:customStyle="1" w:styleId="Chapter">
    <w:name w:val="Chapter"/>
    <w:basedOn w:val="Normal"/>
    <w:rsid w:val="00132CDE"/>
    <w:pPr>
      <w:spacing w:before="240"/>
    </w:pPr>
    <w:rPr>
      <w:rFonts w:ascii="Times New Roman" w:hAnsi="Times New Roman"/>
      <w:smallCaps/>
      <w:spacing w:val="80"/>
      <w:sz w:val="28"/>
    </w:rPr>
  </w:style>
  <w:style w:type="paragraph" w:customStyle="1" w:styleId="InChapter">
    <w:name w:val="InChapter"/>
    <w:basedOn w:val="Heading3"/>
    <w:rsid w:val="00132CDE"/>
    <w:pPr>
      <w:spacing w:after="240"/>
      <w:outlineLvl w:val="9"/>
    </w:pPr>
    <w:rPr>
      <w:noProof/>
    </w:rPr>
  </w:style>
  <w:style w:type="paragraph" w:styleId="Index2">
    <w:name w:val="index 2"/>
    <w:basedOn w:val="Normal"/>
    <w:next w:val="Normal"/>
    <w:semiHidden/>
    <w:rsid w:val="00132CDE"/>
    <w:pPr>
      <w:tabs>
        <w:tab w:val="right" w:pos="4176"/>
      </w:tabs>
      <w:ind w:left="568" w:hanging="284"/>
    </w:pPr>
    <w:rPr>
      <w:rFonts w:ascii="Garamond" w:hAnsi="Garamond"/>
    </w:rPr>
  </w:style>
  <w:style w:type="paragraph" w:customStyle="1" w:styleId="Byline">
    <w:name w:val="Byline"/>
    <w:rsid w:val="00132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CDE"/>
    <w:pPr>
      <w:tabs>
        <w:tab w:val="clear" w:pos="3600"/>
        <w:tab w:val="clear" w:pos="3958"/>
      </w:tabs>
      <w:jc w:val="right"/>
    </w:pPr>
  </w:style>
  <w:style w:type="character" w:styleId="Emphasis">
    <w:name w:val="Emphasis"/>
    <w:basedOn w:val="DefaultParagraphFont"/>
    <w:qFormat/>
    <w:rsid w:val="00132CDE"/>
    <w:rPr>
      <w:i/>
    </w:rPr>
  </w:style>
  <w:style w:type="paragraph" w:styleId="Caption">
    <w:name w:val="caption"/>
    <w:basedOn w:val="BodyText"/>
    <w:next w:val="Normal"/>
    <w:qFormat/>
    <w:rsid w:val="00132CDE"/>
    <w:pPr>
      <w:framePr w:w="2268" w:hSpace="181" w:vSpace="181" w:wrap="around" w:vAnchor="text" w:hAnchor="page" w:x="1135" w:y="285" w:anchorLock="1"/>
    </w:pPr>
    <w:rPr>
      <w:i/>
    </w:rPr>
  </w:style>
  <w:style w:type="paragraph" w:customStyle="1" w:styleId="MiniTOCTitle">
    <w:name w:val="MiniTOCTitle"/>
    <w:basedOn w:val="Heading4"/>
    <w:rsid w:val="00132CDE"/>
    <w:pPr>
      <w:spacing w:before="240"/>
      <w:outlineLvl w:val="9"/>
    </w:pPr>
    <w:rPr>
      <w:noProof/>
      <w:sz w:val="24"/>
    </w:rPr>
  </w:style>
  <w:style w:type="paragraph" w:customStyle="1" w:styleId="MiniTOCItem">
    <w:name w:val="MiniTOCItem"/>
    <w:basedOn w:val="ListBullet"/>
    <w:rsid w:val="00132CDE"/>
    <w:pPr>
      <w:numPr>
        <w:numId w:val="0"/>
      </w:numPr>
      <w:tabs>
        <w:tab w:val="right" w:leader="dot" w:pos="6521"/>
      </w:tabs>
      <w:spacing w:before="0" w:after="0"/>
    </w:pPr>
  </w:style>
  <w:style w:type="paragraph" w:customStyle="1" w:styleId="TOFTitle">
    <w:name w:val="TOFTitle"/>
    <w:basedOn w:val="TOCTitle"/>
    <w:rsid w:val="00132CDE"/>
  </w:style>
  <w:style w:type="paragraph" w:styleId="TableofFigures">
    <w:name w:val="table of figures"/>
    <w:basedOn w:val="Normal"/>
    <w:next w:val="Normal"/>
    <w:semiHidden/>
    <w:rsid w:val="00132CDE"/>
    <w:pPr>
      <w:tabs>
        <w:tab w:val="right" w:leader="dot" w:pos="9072"/>
      </w:tabs>
      <w:ind w:left="970" w:hanging="403"/>
    </w:pPr>
    <w:rPr>
      <w:rFonts w:ascii="Times New Roman" w:hAnsi="Times New Roman"/>
      <w:b/>
    </w:rPr>
  </w:style>
  <w:style w:type="paragraph" w:styleId="ListNumber">
    <w:name w:val="List Number"/>
    <w:basedOn w:val="List"/>
    <w:rsid w:val="00132CDE"/>
    <w:pPr>
      <w:numPr>
        <w:numId w:val="15"/>
      </w:numPr>
      <w:tabs>
        <w:tab w:val="clear" w:pos="340"/>
      </w:tabs>
    </w:pPr>
  </w:style>
  <w:style w:type="character" w:customStyle="1" w:styleId="WingdingSymbols">
    <w:name w:val="Wingding Symbols"/>
    <w:rsid w:val="00132CDE"/>
    <w:rPr>
      <w:rFonts w:ascii="Wingdings" w:hAnsi="Wingdings"/>
    </w:rPr>
  </w:style>
  <w:style w:type="paragraph" w:customStyle="1" w:styleId="TableHeading">
    <w:name w:val="Table Heading"/>
    <w:basedOn w:val="HeadingBase"/>
    <w:rsid w:val="00132CDE"/>
    <w:pPr>
      <w:keepLines/>
      <w:pBdr>
        <w:bottom w:val="single" w:sz="6" w:space="1" w:color="918585"/>
      </w:pBdr>
      <w:spacing w:before="240"/>
    </w:pPr>
  </w:style>
  <w:style w:type="character" w:customStyle="1" w:styleId="HotSpot">
    <w:name w:val="HotSpot"/>
    <w:rsid w:val="00132CDE"/>
    <w:rPr>
      <w:color w:val="0033CC"/>
      <w:u w:val="none"/>
    </w:rPr>
  </w:style>
  <w:style w:type="paragraph" w:customStyle="1" w:styleId="BodyTextRight">
    <w:name w:val="Body Text Right"/>
    <w:basedOn w:val="BodyText"/>
    <w:rsid w:val="00132CDE"/>
    <w:pPr>
      <w:spacing w:before="0" w:after="0"/>
      <w:jc w:val="right"/>
    </w:pPr>
  </w:style>
  <w:style w:type="paragraph" w:styleId="Index3">
    <w:name w:val="index 3"/>
    <w:basedOn w:val="ListNumber2"/>
    <w:next w:val="Normal"/>
    <w:semiHidden/>
    <w:rsid w:val="00132CDE"/>
    <w:pPr>
      <w:numPr>
        <w:numId w:val="0"/>
      </w:numPr>
      <w:tabs>
        <w:tab w:val="right" w:leader="dot" w:pos="4176"/>
      </w:tabs>
    </w:pPr>
  </w:style>
  <w:style w:type="paragraph" w:styleId="ListNumber2">
    <w:name w:val="List Number 2"/>
    <w:basedOn w:val="List2"/>
    <w:rsid w:val="00132CDE"/>
    <w:pPr>
      <w:numPr>
        <w:numId w:val="10"/>
      </w:numPr>
      <w:tabs>
        <w:tab w:val="clear" w:pos="1060"/>
      </w:tabs>
    </w:pPr>
  </w:style>
  <w:style w:type="paragraph" w:customStyle="1" w:styleId="MarginNote">
    <w:name w:val="Margin Note"/>
    <w:basedOn w:val="BodyText"/>
    <w:rsid w:val="00132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CDE"/>
    <w:rPr>
      <w:sz w:val="32"/>
    </w:rPr>
  </w:style>
  <w:style w:type="paragraph" w:customStyle="1" w:styleId="HeadingProcedure">
    <w:name w:val="Heading Procedure"/>
    <w:basedOn w:val="HeadingBase"/>
    <w:next w:val="Normal"/>
    <w:rsid w:val="00132CDE"/>
    <w:pPr>
      <w:tabs>
        <w:tab w:val="left" w:pos="0"/>
      </w:tabs>
      <w:spacing w:before="120" w:after="60"/>
    </w:pPr>
    <w:rPr>
      <w:i/>
      <w:color w:val="918585"/>
      <w:sz w:val="22"/>
    </w:rPr>
  </w:style>
  <w:style w:type="paragraph" w:customStyle="1" w:styleId="TableBodyText">
    <w:name w:val="Table Body Text"/>
    <w:basedOn w:val="BodyText"/>
    <w:rsid w:val="00132CDE"/>
    <w:pPr>
      <w:spacing w:before="60" w:after="60"/>
    </w:pPr>
  </w:style>
  <w:style w:type="paragraph" w:styleId="ListContinue">
    <w:name w:val="List Continue"/>
    <w:basedOn w:val="List"/>
    <w:rsid w:val="00132CDE"/>
    <w:pPr>
      <w:ind w:firstLine="0"/>
    </w:pPr>
  </w:style>
  <w:style w:type="paragraph" w:customStyle="1" w:styleId="ListNote">
    <w:name w:val="List Note"/>
    <w:basedOn w:val="List"/>
    <w:rsid w:val="00132CDE"/>
    <w:pPr>
      <w:pBdr>
        <w:top w:val="single" w:sz="6" w:space="2" w:color="918585"/>
        <w:bottom w:val="single" w:sz="6" w:space="2" w:color="918585"/>
      </w:pBdr>
      <w:tabs>
        <w:tab w:val="left" w:pos="1021"/>
      </w:tabs>
      <w:ind w:firstLine="0"/>
    </w:pPr>
  </w:style>
  <w:style w:type="paragraph" w:customStyle="1" w:styleId="Warning">
    <w:name w:val="Warning"/>
    <w:basedOn w:val="BodyText"/>
    <w:rsid w:val="00132CDE"/>
    <w:pPr>
      <w:shd w:val="clear" w:color="auto" w:fill="D9D9D9"/>
      <w:tabs>
        <w:tab w:val="left" w:pos="992"/>
      </w:tabs>
      <w:ind w:left="119" w:right="119"/>
    </w:pPr>
    <w:rPr>
      <w:sz w:val="20"/>
    </w:rPr>
  </w:style>
  <w:style w:type="paragraph" w:customStyle="1" w:styleId="MarginIcons">
    <w:name w:val="Margin Icons"/>
    <w:basedOn w:val="BodyText"/>
    <w:rsid w:val="00132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CDE"/>
    <w:rPr>
      <w:rFonts w:ascii="Courier New" w:hAnsi="Courier New"/>
    </w:rPr>
  </w:style>
  <w:style w:type="paragraph" w:customStyle="1" w:styleId="NoteBullet">
    <w:name w:val="Note Bullet"/>
    <w:basedOn w:val="Note"/>
    <w:rsid w:val="00132CDE"/>
    <w:pPr>
      <w:tabs>
        <w:tab w:val="clear" w:pos="680"/>
      </w:tabs>
      <w:spacing w:before="60" w:after="60"/>
    </w:pPr>
  </w:style>
  <w:style w:type="paragraph" w:customStyle="1" w:styleId="SubHeading2">
    <w:name w:val="SubHeading2"/>
    <w:basedOn w:val="HeadingBase"/>
    <w:rsid w:val="00132CDE"/>
    <w:pPr>
      <w:spacing w:before="240" w:after="60"/>
    </w:pPr>
    <w:rPr>
      <w:sz w:val="20"/>
    </w:rPr>
  </w:style>
  <w:style w:type="paragraph" w:customStyle="1" w:styleId="SubHeading1">
    <w:name w:val="SubHeading1"/>
    <w:basedOn w:val="HeadingBase"/>
    <w:rsid w:val="00132CDE"/>
    <w:pPr>
      <w:spacing w:before="240" w:after="60"/>
    </w:pPr>
    <w:rPr>
      <w:color w:val="918585"/>
      <w:sz w:val="22"/>
    </w:rPr>
  </w:style>
  <w:style w:type="paragraph" w:customStyle="1" w:styleId="SideHeading">
    <w:name w:val="Side Heading"/>
    <w:basedOn w:val="HeadingBase"/>
    <w:rsid w:val="00132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CDE"/>
    <w:pPr>
      <w:tabs>
        <w:tab w:val="num" w:pos="360"/>
      </w:tabs>
    </w:pPr>
  </w:style>
  <w:style w:type="paragraph" w:styleId="PlainText">
    <w:name w:val="Plain Text"/>
    <w:basedOn w:val="Normal"/>
    <w:link w:val="PlainTextChar"/>
    <w:rsid w:val="00132CDE"/>
    <w:rPr>
      <w:sz w:val="20"/>
    </w:rPr>
  </w:style>
  <w:style w:type="character" w:customStyle="1" w:styleId="PlainTextChar">
    <w:name w:val="Plain Text Char"/>
    <w:basedOn w:val="DefaultParagraphFont"/>
    <w:link w:val="PlainText"/>
    <w:rsid w:val="00132CDE"/>
    <w:rPr>
      <w:rFonts w:ascii="Courier New" w:eastAsia="Times New Roman" w:hAnsi="Courier New" w:cs="Times New Roman"/>
      <w:sz w:val="20"/>
      <w:szCs w:val="20"/>
      <w:lang w:eastAsia="en-US"/>
    </w:rPr>
  </w:style>
  <w:style w:type="character" w:customStyle="1" w:styleId="MenuOption">
    <w:name w:val="Menu Option"/>
    <w:basedOn w:val="DefaultParagraphFont"/>
    <w:rsid w:val="00132CDE"/>
    <w:rPr>
      <w:b/>
      <w:smallCaps/>
    </w:rPr>
  </w:style>
  <w:style w:type="paragraph" w:customStyle="1" w:styleId="TableListNumber">
    <w:name w:val="Table List Number"/>
    <w:basedOn w:val="ListNumber"/>
    <w:rsid w:val="00132CDE"/>
    <w:pPr>
      <w:numPr>
        <w:numId w:val="0"/>
      </w:numPr>
    </w:pPr>
  </w:style>
  <w:style w:type="paragraph" w:styleId="TOC4">
    <w:name w:val="toc 4"/>
    <w:basedOn w:val="TOCBase"/>
    <w:next w:val="Normal"/>
    <w:semiHidden/>
    <w:rsid w:val="00132CDE"/>
    <w:pPr>
      <w:tabs>
        <w:tab w:val="right" w:leader="dot" w:pos="9071"/>
      </w:tabs>
      <w:ind w:left="1701"/>
    </w:pPr>
  </w:style>
  <w:style w:type="paragraph" w:customStyle="1" w:styleId="ListAlpha">
    <w:name w:val="List Alpha"/>
    <w:basedOn w:val="List"/>
    <w:rsid w:val="00132CDE"/>
    <w:pPr>
      <w:numPr>
        <w:numId w:val="9"/>
      </w:numPr>
    </w:pPr>
  </w:style>
  <w:style w:type="paragraph" w:customStyle="1" w:styleId="ListAlpha2">
    <w:name w:val="List Alpha 2"/>
    <w:basedOn w:val="List2"/>
    <w:rsid w:val="00132CDE"/>
    <w:pPr>
      <w:numPr>
        <w:numId w:val="8"/>
      </w:numPr>
    </w:pPr>
  </w:style>
  <w:style w:type="paragraph" w:styleId="List2">
    <w:name w:val="List 2"/>
    <w:basedOn w:val="BodyText"/>
    <w:rsid w:val="00132CDE"/>
    <w:pPr>
      <w:tabs>
        <w:tab w:val="left" w:pos="680"/>
      </w:tabs>
      <w:spacing w:before="60" w:after="60"/>
      <w:ind w:left="680" w:hanging="340"/>
    </w:pPr>
  </w:style>
  <w:style w:type="paragraph" w:styleId="List3">
    <w:name w:val="List 3"/>
    <w:basedOn w:val="BodyText"/>
    <w:rsid w:val="00132CDE"/>
    <w:pPr>
      <w:tabs>
        <w:tab w:val="left" w:pos="1021"/>
      </w:tabs>
      <w:spacing w:before="60" w:after="60"/>
      <w:ind w:left="1020" w:hanging="340"/>
    </w:pPr>
  </w:style>
  <w:style w:type="paragraph" w:styleId="List4">
    <w:name w:val="List 4"/>
    <w:basedOn w:val="BodyText"/>
    <w:rsid w:val="00132CDE"/>
    <w:pPr>
      <w:tabs>
        <w:tab w:val="left" w:pos="1361"/>
      </w:tabs>
      <w:spacing w:before="60" w:after="60"/>
      <w:ind w:left="1361" w:hanging="340"/>
    </w:pPr>
  </w:style>
  <w:style w:type="paragraph" w:styleId="List5">
    <w:name w:val="List 5"/>
    <w:basedOn w:val="BodyText"/>
    <w:rsid w:val="00132CDE"/>
    <w:pPr>
      <w:tabs>
        <w:tab w:val="left" w:pos="1701"/>
      </w:tabs>
      <w:spacing w:before="60" w:after="60"/>
      <w:ind w:left="1701" w:hanging="340"/>
    </w:pPr>
  </w:style>
  <w:style w:type="paragraph" w:styleId="ListBullet3">
    <w:name w:val="List Bullet 3"/>
    <w:basedOn w:val="List3"/>
    <w:rsid w:val="00132CDE"/>
    <w:pPr>
      <w:numPr>
        <w:numId w:val="14"/>
      </w:numPr>
      <w:tabs>
        <w:tab w:val="clear" w:pos="1021"/>
      </w:tabs>
      <w:ind w:left="1037" w:hanging="357"/>
    </w:pPr>
  </w:style>
  <w:style w:type="paragraph" w:styleId="ListBullet4">
    <w:name w:val="List Bullet 4"/>
    <w:basedOn w:val="List4"/>
    <w:rsid w:val="00132CDE"/>
    <w:pPr>
      <w:numPr>
        <w:numId w:val="3"/>
      </w:numPr>
      <w:tabs>
        <w:tab w:val="clear" w:pos="1361"/>
      </w:tabs>
    </w:pPr>
  </w:style>
  <w:style w:type="paragraph" w:styleId="ListBullet5">
    <w:name w:val="List Bullet 5"/>
    <w:basedOn w:val="List5"/>
    <w:rsid w:val="00132CDE"/>
    <w:pPr>
      <w:numPr>
        <w:numId w:val="4"/>
      </w:numPr>
    </w:pPr>
  </w:style>
  <w:style w:type="paragraph" w:styleId="ListContinue2">
    <w:name w:val="List Continue 2"/>
    <w:basedOn w:val="List2"/>
    <w:rsid w:val="00132CDE"/>
    <w:pPr>
      <w:ind w:firstLine="0"/>
    </w:pPr>
  </w:style>
  <w:style w:type="paragraph" w:styleId="ListContinue3">
    <w:name w:val="List Continue 3"/>
    <w:basedOn w:val="List3"/>
    <w:rsid w:val="00132CDE"/>
    <w:pPr>
      <w:ind w:left="1021" w:firstLine="0"/>
    </w:pPr>
  </w:style>
  <w:style w:type="paragraph" w:styleId="ListContinue4">
    <w:name w:val="List Continue 4"/>
    <w:basedOn w:val="List4"/>
    <w:rsid w:val="00132CDE"/>
    <w:pPr>
      <w:ind w:firstLine="0"/>
    </w:pPr>
  </w:style>
  <w:style w:type="paragraph" w:styleId="ListContinue5">
    <w:name w:val="List Continue 5"/>
    <w:basedOn w:val="List5"/>
    <w:rsid w:val="00132CDE"/>
    <w:pPr>
      <w:ind w:firstLine="0"/>
    </w:pPr>
  </w:style>
  <w:style w:type="paragraph" w:styleId="ListNumber3">
    <w:name w:val="List Number 3"/>
    <w:basedOn w:val="List3"/>
    <w:rsid w:val="00132CDE"/>
    <w:pPr>
      <w:numPr>
        <w:numId w:val="5"/>
      </w:numPr>
    </w:pPr>
  </w:style>
  <w:style w:type="paragraph" w:styleId="ListNumber4">
    <w:name w:val="List Number 4"/>
    <w:basedOn w:val="List4"/>
    <w:rsid w:val="00132CDE"/>
    <w:pPr>
      <w:numPr>
        <w:numId w:val="6"/>
      </w:numPr>
    </w:pPr>
  </w:style>
  <w:style w:type="paragraph" w:styleId="ListNumber5">
    <w:name w:val="List Number 5"/>
    <w:basedOn w:val="List5"/>
    <w:rsid w:val="00132CDE"/>
    <w:pPr>
      <w:numPr>
        <w:numId w:val="7"/>
      </w:numPr>
    </w:pPr>
  </w:style>
  <w:style w:type="paragraph" w:styleId="BlockText">
    <w:name w:val="Block Text"/>
    <w:basedOn w:val="Normal"/>
    <w:rsid w:val="00132CDE"/>
    <w:pPr>
      <w:spacing w:after="120"/>
      <w:ind w:left="1440" w:right="1440"/>
    </w:pPr>
  </w:style>
  <w:style w:type="character" w:customStyle="1" w:styleId="Subscript">
    <w:name w:val="Subscript"/>
    <w:basedOn w:val="DefaultParagraphFont"/>
    <w:rsid w:val="00132CDE"/>
    <w:rPr>
      <w:sz w:val="16"/>
      <w:vertAlign w:val="subscript"/>
    </w:rPr>
  </w:style>
  <w:style w:type="character" w:customStyle="1" w:styleId="Superscript">
    <w:name w:val="Superscript"/>
    <w:basedOn w:val="DefaultParagraphFont"/>
    <w:rsid w:val="00132CDE"/>
    <w:rPr>
      <w:sz w:val="16"/>
      <w:vertAlign w:val="superscript"/>
    </w:rPr>
  </w:style>
  <w:style w:type="character" w:customStyle="1" w:styleId="Symbols">
    <w:name w:val="Symbols"/>
    <w:basedOn w:val="DefaultParagraphFont"/>
    <w:rsid w:val="00132CDE"/>
    <w:rPr>
      <w:rFonts w:ascii="Symbol" w:hAnsi="Symbol"/>
    </w:rPr>
  </w:style>
  <w:style w:type="character" w:customStyle="1" w:styleId="MenuOptions">
    <w:name w:val="Menu Options"/>
    <w:basedOn w:val="DefaultParagraphFont"/>
    <w:rsid w:val="00132CDE"/>
    <w:rPr>
      <w:rFonts w:ascii="Arial Narrow" w:hAnsi="Arial Narrow"/>
      <w:smallCaps/>
    </w:rPr>
  </w:style>
  <w:style w:type="character" w:customStyle="1" w:styleId="Buttons">
    <w:name w:val="Buttons"/>
    <w:basedOn w:val="DefaultParagraphFont"/>
    <w:rsid w:val="00132CDE"/>
    <w:rPr>
      <w:b/>
    </w:rPr>
  </w:style>
  <w:style w:type="character" w:customStyle="1" w:styleId="Underlined">
    <w:name w:val="Underlined"/>
    <w:basedOn w:val="DefaultParagraphFont"/>
    <w:rsid w:val="00132CDE"/>
    <w:rPr>
      <w:u w:val="single"/>
    </w:rPr>
  </w:style>
  <w:style w:type="paragraph" w:customStyle="1" w:styleId="TableBodyTextRight">
    <w:name w:val="Table Body Text Right"/>
    <w:basedOn w:val="TableBodyText"/>
    <w:rsid w:val="00132CDE"/>
    <w:pPr>
      <w:widowControl w:val="0"/>
      <w:autoSpaceDE w:val="0"/>
      <w:autoSpaceDN w:val="0"/>
      <w:adjustRightInd w:val="0"/>
      <w:jc w:val="right"/>
    </w:pPr>
    <w:rPr>
      <w:rFonts w:cs="Arial"/>
      <w:szCs w:val="18"/>
    </w:rPr>
  </w:style>
  <w:style w:type="paragraph" w:customStyle="1" w:styleId="CopyrightText">
    <w:name w:val="Copyright Text"/>
    <w:basedOn w:val="BodyText"/>
    <w:rsid w:val="00132CDE"/>
    <w:rPr>
      <w:sz w:val="18"/>
    </w:rPr>
  </w:style>
  <w:style w:type="paragraph" w:customStyle="1" w:styleId="BodySmallRight">
    <w:name w:val="Body Small Right"/>
    <w:basedOn w:val="BodyTextRight"/>
    <w:rsid w:val="00132CDE"/>
    <w:rPr>
      <w:sz w:val="18"/>
      <w:szCs w:val="18"/>
    </w:rPr>
  </w:style>
  <w:style w:type="paragraph" w:customStyle="1" w:styleId="MarginEdition">
    <w:name w:val="Margin Edition"/>
    <w:basedOn w:val="MarginNote"/>
    <w:rsid w:val="00132CDE"/>
    <w:pPr>
      <w:spacing w:before="0" w:after="0"/>
    </w:pPr>
    <w:rPr>
      <w:rFonts w:ascii="Times New Roman" w:hAnsi="Times New Roman"/>
      <w:color w:val="999999"/>
    </w:rPr>
  </w:style>
  <w:style w:type="paragraph" w:customStyle="1" w:styleId="Spacer">
    <w:name w:val="Spacer"/>
    <w:basedOn w:val="Normal"/>
    <w:rsid w:val="00132CDE"/>
    <w:rPr>
      <w:sz w:val="2"/>
      <w:szCs w:val="2"/>
    </w:rPr>
  </w:style>
  <w:style w:type="character" w:customStyle="1" w:styleId="Small">
    <w:name w:val="Small"/>
    <w:basedOn w:val="DefaultParagraphFont"/>
    <w:rsid w:val="00132CDE"/>
    <w:rPr>
      <w:sz w:val="16"/>
    </w:rPr>
  </w:style>
  <w:style w:type="paragraph" w:customStyle="1" w:styleId="WideTable">
    <w:name w:val="Wide Table"/>
    <w:basedOn w:val="Normal"/>
    <w:rsid w:val="00132CDE"/>
    <w:pPr>
      <w:ind w:left="-1418"/>
    </w:pPr>
    <w:rPr>
      <w:sz w:val="2"/>
      <w:szCs w:val="2"/>
    </w:rPr>
  </w:style>
  <w:style w:type="character" w:styleId="PageNumber">
    <w:name w:val="page number"/>
    <w:basedOn w:val="DefaultParagraphFont"/>
    <w:rsid w:val="00132CDE"/>
  </w:style>
  <w:style w:type="paragraph" w:styleId="Quote">
    <w:name w:val="Quote"/>
    <w:basedOn w:val="Heading1"/>
    <w:link w:val="QuoteChar"/>
    <w:qFormat/>
    <w:rsid w:val="00132CDE"/>
    <w:rPr>
      <w:b w:val="0"/>
      <w:sz w:val="72"/>
      <w:szCs w:val="72"/>
      <w:lang w:val="en-NZ"/>
    </w:rPr>
  </w:style>
  <w:style w:type="character" w:customStyle="1" w:styleId="QuoteChar">
    <w:name w:val="Quote Char"/>
    <w:basedOn w:val="DefaultParagraphFont"/>
    <w:link w:val="Quote"/>
    <w:rsid w:val="00132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CDE"/>
    <w:pPr>
      <w:pageBreakBefore/>
    </w:pPr>
  </w:style>
  <w:style w:type="paragraph" w:customStyle="1" w:styleId="Border">
    <w:name w:val="Border"/>
    <w:basedOn w:val="Normal"/>
    <w:qFormat/>
    <w:rsid w:val="00132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CDE"/>
    <w:rPr>
      <w:b/>
      <w:bCs/>
      <w:i/>
      <w:iCs/>
      <w:color w:val="auto"/>
    </w:rPr>
  </w:style>
  <w:style w:type="paragraph" w:styleId="IntenseQuote">
    <w:name w:val="Intense Quote"/>
    <w:basedOn w:val="Normal"/>
    <w:next w:val="Normal"/>
    <w:link w:val="IntenseQuoteChar"/>
    <w:uiPriority w:val="30"/>
    <w:qFormat/>
    <w:rsid w:val="00132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CDE"/>
    <w:rPr>
      <w:smallCaps/>
      <w:color w:val="auto"/>
      <w:u w:val="single"/>
    </w:rPr>
  </w:style>
  <w:style w:type="character" w:styleId="IntenseReference">
    <w:name w:val="Intense Reference"/>
    <w:basedOn w:val="DefaultParagraphFont"/>
    <w:uiPriority w:val="32"/>
    <w:qFormat/>
    <w:rsid w:val="00132CDE"/>
    <w:rPr>
      <w:b/>
      <w:bCs/>
      <w:smallCaps/>
      <w:color w:val="auto"/>
      <w:spacing w:val="5"/>
      <w:u w:val="single"/>
    </w:rPr>
  </w:style>
  <w:style w:type="paragraph" w:customStyle="1" w:styleId="2ColumnHeading">
    <w:name w:val="2Column Heading"/>
    <w:basedOn w:val="BodyText"/>
    <w:qFormat/>
    <w:rsid w:val="00132CDE"/>
    <w:pPr>
      <w:spacing w:after="60"/>
      <w:ind w:left="-2268"/>
    </w:pPr>
    <w:rPr>
      <w:b/>
    </w:rPr>
  </w:style>
  <w:style w:type="paragraph" w:customStyle="1" w:styleId="Heading1TOC">
    <w:name w:val="Heading1 TOC"/>
    <w:basedOn w:val="Normal"/>
    <w:qFormat/>
    <w:rsid w:val="00132CDE"/>
    <w:pPr>
      <w:spacing w:before="240" w:after="120"/>
    </w:pPr>
    <w:rPr>
      <w:rFonts w:ascii="Times New Roman" w:hAnsi="Times New Roman"/>
      <w:b/>
      <w:sz w:val="32"/>
    </w:rPr>
  </w:style>
  <w:style w:type="paragraph" w:customStyle="1" w:styleId="Heading2TOC">
    <w:name w:val="Heading2 TOC"/>
    <w:basedOn w:val="Normal"/>
    <w:qFormat/>
    <w:rsid w:val="00132CDE"/>
    <w:pPr>
      <w:spacing w:before="240" w:after="60"/>
    </w:pPr>
    <w:rPr>
      <w:rFonts w:ascii="Times New Roman" w:hAnsi="Times New Roman"/>
      <w:b/>
      <w:sz w:val="28"/>
    </w:rPr>
  </w:style>
  <w:style w:type="character" w:customStyle="1" w:styleId="Underline">
    <w:name w:val="Underline"/>
    <w:basedOn w:val="DefaultParagraphFont"/>
    <w:qFormat/>
    <w:rsid w:val="00132CDE"/>
    <w:rPr>
      <w:u w:val="single"/>
    </w:rPr>
  </w:style>
  <w:style w:type="character" w:customStyle="1" w:styleId="BoldandItalics">
    <w:name w:val="Bold and Italics"/>
    <w:qFormat/>
    <w:rsid w:val="00132CDE"/>
    <w:rPr>
      <w:b/>
      <w:i/>
      <w:u w:val="none"/>
    </w:rPr>
  </w:style>
  <w:style w:type="paragraph" w:styleId="BalloonText">
    <w:name w:val="Balloon Text"/>
    <w:basedOn w:val="Normal"/>
    <w:link w:val="BalloonTextChar"/>
    <w:rsid w:val="00132CDE"/>
    <w:rPr>
      <w:rFonts w:ascii="Tahoma" w:hAnsi="Tahoma" w:cs="Tahoma"/>
      <w:sz w:val="16"/>
      <w:szCs w:val="16"/>
    </w:rPr>
  </w:style>
  <w:style w:type="character" w:customStyle="1" w:styleId="BalloonTextChar">
    <w:name w:val="Balloon Text Char"/>
    <w:basedOn w:val="DefaultParagraphFont"/>
    <w:link w:val="BalloonText"/>
    <w:rsid w:val="00132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CDE"/>
    <w:rPr>
      <w:b/>
      <w:color w:val="660033"/>
      <w:spacing w:val="0"/>
    </w:rPr>
  </w:style>
  <w:style w:type="paragraph" w:customStyle="1" w:styleId="Nameditemlist">
    <w:name w:val="Named item list"/>
    <w:basedOn w:val="BodyText"/>
    <w:qFormat/>
    <w:rsid w:val="00132CDE"/>
    <w:pPr>
      <w:tabs>
        <w:tab w:val="left" w:pos="2835"/>
      </w:tabs>
      <w:ind w:left="2835" w:hanging="2835"/>
    </w:pPr>
  </w:style>
  <w:style w:type="paragraph" w:customStyle="1" w:styleId="BodyTextnopadding">
    <w:name w:val="Body Text no padding"/>
    <w:basedOn w:val="BodyText"/>
    <w:qFormat/>
    <w:rsid w:val="00132CDE"/>
    <w:pPr>
      <w:spacing w:before="0" w:after="0"/>
    </w:pPr>
  </w:style>
  <w:style w:type="paragraph" w:customStyle="1" w:styleId="BodyTextBold">
    <w:name w:val="Body Text Bold"/>
    <w:basedOn w:val="BodyText"/>
    <w:qFormat/>
    <w:rsid w:val="00132CDE"/>
    <w:rPr>
      <w:b/>
    </w:rPr>
  </w:style>
  <w:style w:type="character" w:styleId="Hyperlink">
    <w:name w:val="Hyperlink"/>
    <w:basedOn w:val="DefaultParagraphFont"/>
    <w:uiPriority w:val="99"/>
    <w:unhideWhenUsed/>
    <w:rsid w:val="009877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1188</Words>
  <Characters>8116</Characters>
  <Application>Microsoft Office Word</Application>
  <DocSecurity>0</DocSecurity>
  <Lines>219</Lines>
  <Paragraphs>193</Paragraphs>
  <ScaleCrop>false</ScaleCrop>
  <Company>Author-it Software Corporation Ltd.</Company>
  <LinksUpToDate>false</LinksUpToDate>
  <CharactersWithSpaces>9111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AVIF0045 Facilitate the safety of aerodrome works and works site access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2022-10-20T02:33:00Z</dcterms:created>
  <dcterms:modified xsi:type="dcterms:W3CDTF">2022-10-20T02:33:00Z</dcterms:modified>
</cp:coreProperties>
</file>