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58FB" w:rsidP="00C358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AVIF0037 Monitor the transfer of hazardous materials</w:t>
      </w:r>
      <w:r>
        <w:fldChar w:fldCharType="end"/>
      </w:r>
    </w:p>
    <w:p w:rsidR="00C358FB" w:rsidP="00C358FB">
      <w:pPr>
        <w:pStyle w:val="Version"/>
        <w:sectPr w:rsidSect="00C55C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5C8C" w:rsidP="00C55C8C">
      <w:pPr>
        <w:pStyle w:val="SuperHeading"/>
      </w:pPr>
      <w:r w:rsidRPr="00C55C8C">
        <w:t>AVIF0037 Monitor the transfer of hazardous materials</w:t>
      </w:r>
    </w:p>
    <w:p w:rsidR="00000000" w:rsidRPr="00C55C8C" w:rsidP="00C55C8C">
      <w:pPr>
        <w:pStyle w:val="Heading1"/>
      </w:pPr>
      <w:bookmarkStart w:id="1" w:name="O_1025651"/>
      <w:bookmarkEnd w:id="1"/>
      <w:r w:rsidRPr="00C55C8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5C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C8C" w:rsidP="00C55C8C">
            <w:pPr>
              <w:pStyle w:val="BodyText"/>
            </w:pPr>
            <w:r w:rsidRPr="00C55C8C">
              <w:t>Release 1. This is the first release of this unit of competency in the AVI Aviation Training Package.</w:t>
            </w:r>
          </w:p>
        </w:tc>
      </w:tr>
    </w:tbl>
    <w:p w:rsidR="00000000" w:rsidRPr="00C55C8C" w:rsidP="00C55C8C">
      <w:pPr>
        <w:pStyle w:val="NoPaddingFontSize1"/>
      </w:pPr>
    </w:p>
    <w:p w:rsidR="00000000" w:rsidRPr="00C55C8C" w:rsidP="00C55C8C">
      <w:pPr>
        <w:pStyle w:val="AllowPageBreak"/>
      </w:pPr>
    </w:p>
    <w:p w:rsidR="00000000" w:rsidRPr="00C55C8C" w:rsidP="00C55C8C">
      <w:pPr>
        <w:pStyle w:val="Heading1"/>
      </w:pPr>
      <w:bookmarkStart w:id="2" w:name="O_1025652"/>
      <w:bookmarkEnd w:id="2"/>
      <w:r w:rsidRPr="00C55C8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5C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C8C" w:rsidP="00C55C8C">
            <w:pPr>
              <w:pStyle w:val="BodyText"/>
            </w:pPr>
            <w:r w:rsidRPr="00C55C8C">
              <w:t>This unit involves the skills and knowledge required to monitor the transfer of ha</w:t>
            </w:r>
            <w:r w:rsidRPr="00C55C8C">
              <w:t>zardous materials in compliance with relevant regulatory requirements of the Civil Aviation Safety Authority (CASA) and national operating standards.</w:t>
            </w:r>
          </w:p>
          <w:p w:rsidR="00000000" w:rsidRPr="00C55C8C" w:rsidP="00C55C8C">
            <w:pPr>
              <w:pStyle w:val="BodyText"/>
            </w:pPr>
            <w:r w:rsidRPr="00C55C8C">
              <w:t>It includes monitoring the transfer of hazardous materials on an aerodrome and responding to a hazardous m</w:t>
            </w:r>
            <w:r w:rsidRPr="00C55C8C">
              <w:t>aterials incident.</w:t>
            </w:r>
          </w:p>
          <w:p w:rsidR="00000000" w:rsidRPr="00C55C8C" w:rsidP="00C55C8C">
            <w:pPr>
              <w:pStyle w:val="BodyText"/>
            </w:pPr>
            <w:r w:rsidRPr="00C55C8C">
              <w:t>This unit addresses aviation technical skill requirements (physical, mental and task-management abilities) related to safety management duties of ground operations personnel and contributes to safe and effective performance in complex av</w:t>
            </w:r>
            <w:r w:rsidRPr="00C55C8C">
              <w:t>iation operational environments.</w:t>
            </w:r>
          </w:p>
          <w:p w:rsidR="00000000" w:rsidRPr="00C55C8C" w:rsidP="00C55C8C">
            <w:pPr>
              <w:pStyle w:val="BodyText"/>
            </w:pPr>
            <w:r w:rsidRPr="00C55C8C">
              <w:t>Operations are conducted as part of commercial and military aircraft activities across a variety of operational contexts within the Australian aviation industry.</w:t>
            </w:r>
          </w:p>
          <w:p w:rsidR="00000000" w:rsidRPr="00C55C8C" w:rsidP="00C55C8C">
            <w:pPr>
              <w:pStyle w:val="BodyText"/>
            </w:pPr>
            <w:r w:rsidRPr="00C55C8C">
              <w:t xml:space="preserve">Work is performed independently or under limited supervision </w:t>
            </w:r>
            <w:r w:rsidRPr="00C55C8C">
              <w:t>as a single operator or within a team environment.</w:t>
            </w:r>
          </w:p>
          <w:p w:rsidR="00000000" w:rsidRPr="00C55C8C" w:rsidP="00C55C8C">
            <w:pPr>
              <w:pStyle w:val="BodyText"/>
            </w:pPr>
            <w:r w:rsidRPr="00C55C8C">
              <w:t>Licensing, legislative, regulatory or certification requirements are applicable to this unit.</w:t>
            </w:r>
          </w:p>
        </w:tc>
      </w:tr>
    </w:tbl>
    <w:p w:rsidR="00000000" w:rsidRPr="00C55C8C" w:rsidP="00C55C8C">
      <w:pPr>
        <w:pStyle w:val="NoPaddingFontSize1"/>
      </w:pPr>
    </w:p>
    <w:p w:rsidR="00000000" w:rsidRPr="00C55C8C" w:rsidP="00C55C8C">
      <w:pPr>
        <w:pStyle w:val="AllowPageBreak"/>
      </w:pPr>
    </w:p>
    <w:p w:rsidR="00000000" w:rsidRPr="00C55C8C" w:rsidP="00C55C8C">
      <w:pPr>
        <w:pStyle w:val="Heading1"/>
      </w:pPr>
      <w:bookmarkStart w:id="3" w:name="O_1025653"/>
      <w:bookmarkEnd w:id="3"/>
      <w:r w:rsidRPr="00C55C8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5C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C8C" w:rsidP="00C55C8C">
            <w:pPr>
              <w:pStyle w:val="BodyText"/>
            </w:pPr>
            <w:r w:rsidRPr="00C55C8C">
              <w:t>Not applicable.</w:t>
            </w:r>
          </w:p>
        </w:tc>
      </w:tr>
    </w:tbl>
    <w:p w:rsidR="00000000" w:rsidRPr="00C55C8C" w:rsidP="00C55C8C">
      <w:pPr>
        <w:pStyle w:val="NoPaddingFontSize1"/>
      </w:pPr>
    </w:p>
    <w:p w:rsidR="00000000" w:rsidRPr="00C55C8C" w:rsidP="00C55C8C">
      <w:pPr>
        <w:pStyle w:val="AllowPageBreak"/>
      </w:pPr>
    </w:p>
    <w:p w:rsidR="00000000" w:rsidRPr="00C55C8C" w:rsidP="00C55C8C">
      <w:pPr>
        <w:pStyle w:val="Heading1"/>
      </w:pPr>
      <w:bookmarkStart w:id="4" w:name="O_1025654"/>
      <w:bookmarkEnd w:id="4"/>
      <w:r w:rsidRPr="00C55C8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5C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C8C" w:rsidP="00C55C8C">
            <w:pPr>
              <w:pStyle w:val="BodyText"/>
            </w:pPr>
            <w:r w:rsidRPr="00C55C8C">
              <w:t>F – Safety Manage</w:t>
            </w:r>
            <w:r w:rsidRPr="00C55C8C">
              <w:t>ment</w:t>
            </w:r>
          </w:p>
        </w:tc>
      </w:tr>
    </w:tbl>
    <w:p w:rsidR="00000000" w:rsidRPr="00C55C8C" w:rsidP="00C55C8C">
      <w:pPr>
        <w:pStyle w:val="NoPaddingFontSize1"/>
      </w:pPr>
    </w:p>
    <w:p w:rsidR="00000000" w:rsidRPr="00C55C8C" w:rsidP="00C55C8C">
      <w:pPr>
        <w:pStyle w:val="AllowPageBreak"/>
      </w:pPr>
    </w:p>
    <w:p w:rsidR="00000000" w:rsidRPr="00C55C8C" w:rsidP="00C55C8C">
      <w:pPr>
        <w:pStyle w:val="Heading1"/>
      </w:pPr>
      <w:bookmarkStart w:id="5" w:name="O_1025655"/>
      <w:bookmarkEnd w:id="5"/>
      <w:r w:rsidRPr="00C55C8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5C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C8C" w:rsidP="00C55C8C">
            <w:pPr>
              <w:pStyle w:val="BodyText"/>
            </w:pPr>
            <w:r w:rsidRPr="00C55C8C">
              <w:t>Not applicable.</w:t>
            </w:r>
          </w:p>
        </w:tc>
      </w:tr>
    </w:tbl>
    <w:p w:rsidR="00000000" w:rsidRPr="00C55C8C" w:rsidP="00C55C8C">
      <w:pPr>
        <w:pStyle w:val="NoPaddingFontSize1"/>
      </w:pPr>
    </w:p>
    <w:p w:rsidR="00000000" w:rsidRPr="00C55C8C" w:rsidP="00C55C8C">
      <w:pPr>
        <w:pStyle w:val="AllowPageBreak"/>
      </w:pPr>
    </w:p>
    <w:p w:rsidR="00000000" w:rsidRPr="00C55C8C" w:rsidP="00C55C8C">
      <w:pPr>
        <w:pStyle w:val="Heading1"/>
      </w:pPr>
      <w:bookmarkStart w:id="6" w:name="O_1025656"/>
      <w:bookmarkEnd w:id="6"/>
      <w:r w:rsidRPr="00C55C8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55C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C8C" w:rsidP="00C55C8C">
            <w:pPr>
              <w:pStyle w:val="BodyText"/>
            </w:pPr>
            <w:r w:rsidRPr="00C55C8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C8C">
            <w:pPr>
              <w:pStyle w:val="BodyText"/>
              <w:rPr>
                <w:lang w:val="en-NZ"/>
              </w:rPr>
            </w:pPr>
            <w:r w:rsidRPr="00C55C8C">
              <w:rPr>
                <w:rStyle w:val="SpecialBold"/>
              </w:rPr>
              <w:t>PERFORMANCE CRITERIA</w:t>
            </w:r>
          </w:p>
        </w:tc>
      </w:tr>
      <w:tr w:rsidTr="00C55C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C8C">
            <w:pPr>
              <w:pStyle w:val="BodyText"/>
              <w:rPr>
                <w:lang w:val="en-NZ"/>
              </w:rPr>
            </w:pPr>
            <w:r w:rsidRPr="00C55C8C">
              <w:t xml:space="preserve">Elements describe the essential </w:t>
            </w:r>
            <w:r w:rsidRPr="00C55C8C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C8C">
            <w:pPr>
              <w:pStyle w:val="BodyText"/>
              <w:rPr>
                <w:lang w:val="en-NZ"/>
              </w:rPr>
            </w:pPr>
            <w:r w:rsidRPr="00C55C8C">
              <w:t xml:space="preserve">Performance criteria describe the performance needed to </w:t>
            </w:r>
            <w:r w:rsidRPr="00C55C8C">
              <w:t>demonstrate achievement of the element.</w:t>
            </w:r>
          </w:p>
        </w:tc>
      </w:tr>
      <w:tr w:rsidTr="00C55C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C8C" w:rsidP="00C55C8C">
            <w:pPr>
              <w:pStyle w:val="BodyText"/>
            </w:pPr>
            <w:r w:rsidRPr="00C55C8C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C8C" w:rsidP="00C55C8C">
            <w:pPr>
              <w:pStyle w:val="BodyText"/>
            </w:pPr>
            <w:r w:rsidRPr="00C55C8C">
              <w:rPr>
                <w:rStyle w:val="SpecialBold"/>
              </w:rPr>
              <w:t>Monitor the transfer of hazardous materials on an aerodrome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C8C">
            <w:pPr>
              <w:pStyle w:val="BodyText"/>
              <w:rPr>
                <w:lang w:val="en-NZ"/>
              </w:rPr>
            </w:pPr>
            <w:r w:rsidRPr="00C55C8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C8C">
            <w:pPr>
              <w:pStyle w:val="BodyText"/>
              <w:rPr>
                <w:lang w:val="en-NZ"/>
              </w:rPr>
            </w:pPr>
            <w:r w:rsidRPr="00C55C8C">
              <w:t>Location and timing of transfer is determined</w:t>
            </w:r>
          </w:p>
        </w:tc>
      </w:tr>
      <w:tr w:rsidTr="00C55C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C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C8C">
            <w:pPr>
              <w:pStyle w:val="BodyText"/>
              <w:rPr>
                <w:lang w:val="en-NZ"/>
              </w:rPr>
            </w:pPr>
            <w:r w:rsidRPr="00C55C8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C8C">
            <w:pPr>
              <w:pStyle w:val="BodyText"/>
              <w:rPr>
                <w:lang w:val="en-NZ"/>
              </w:rPr>
            </w:pPr>
            <w:r w:rsidRPr="00C55C8C">
              <w:t>Hazards are identified, risks are asse</w:t>
            </w:r>
            <w:r w:rsidRPr="00C55C8C">
              <w:t>ssed and hazard management implemented</w:t>
            </w:r>
          </w:p>
        </w:tc>
      </w:tr>
      <w:tr w:rsidTr="00C55C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C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C8C">
            <w:pPr>
              <w:pStyle w:val="BodyText"/>
              <w:rPr>
                <w:lang w:val="en-NZ"/>
              </w:rPr>
            </w:pPr>
            <w:r w:rsidRPr="00C55C8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C8C">
            <w:pPr>
              <w:pStyle w:val="BodyText"/>
              <w:rPr>
                <w:lang w:val="en-NZ"/>
              </w:rPr>
            </w:pPr>
            <w:r w:rsidRPr="00C55C8C">
              <w:t>Transfer of hazardous material is monitored to ensure compliance with standard operating procedures (SOPs)</w:t>
            </w:r>
          </w:p>
        </w:tc>
      </w:tr>
      <w:tr w:rsidTr="00C55C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C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C8C">
            <w:pPr>
              <w:pStyle w:val="BodyText"/>
              <w:rPr>
                <w:lang w:val="en-NZ"/>
              </w:rPr>
            </w:pPr>
            <w:r w:rsidRPr="00C55C8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C8C">
            <w:pPr>
              <w:pStyle w:val="BodyText"/>
              <w:rPr>
                <w:lang w:val="en-NZ"/>
              </w:rPr>
            </w:pPr>
            <w:r w:rsidRPr="00C55C8C">
              <w:t>Breaches of SOPs are logged and reported</w:t>
            </w:r>
          </w:p>
        </w:tc>
      </w:tr>
      <w:tr w:rsidTr="00C55C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C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C8C">
            <w:pPr>
              <w:pStyle w:val="BodyText"/>
              <w:rPr>
                <w:lang w:val="en-NZ"/>
              </w:rPr>
            </w:pPr>
            <w:r w:rsidRPr="00C55C8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C8C">
            <w:pPr>
              <w:pStyle w:val="BodyText"/>
              <w:rPr>
                <w:lang w:val="en-NZ"/>
              </w:rPr>
            </w:pPr>
            <w:r w:rsidRPr="00C55C8C">
              <w:t>Apron areas are inspected for serviceability and identified spills, leakages or damage are reported</w:t>
            </w:r>
          </w:p>
        </w:tc>
      </w:tr>
      <w:tr w:rsidTr="00C55C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C8C" w:rsidP="00C55C8C">
            <w:pPr>
              <w:pStyle w:val="BodyText"/>
            </w:pPr>
            <w:r w:rsidRPr="00C55C8C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C8C" w:rsidP="00C55C8C">
            <w:pPr>
              <w:pStyle w:val="BodyText"/>
            </w:pPr>
            <w:r w:rsidRPr="00C55C8C">
              <w:rPr>
                <w:rStyle w:val="SpecialBold"/>
              </w:rPr>
              <w:t>Respond to a hazardous materials incident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C8C">
            <w:pPr>
              <w:pStyle w:val="BodyText"/>
              <w:rPr>
                <w:lang w:val="en-NZ"/>
              </w:rPr>
            </w:pPr>
            <w:r w:rsidRPr="00C55C8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C8C">
            <w:pPr>
              <w:pStyle w:val="BodyText"/>
              <w:rPr>
                <w:lang w:val="en-NZ"/>
              </w:rPr>
            </w:pPr>
            <w:r w:rsidRPr="00C55C8C">
              <w:t>Correct category of incident is determined</w:t>
            </w:r>
          </w:p>
        </w:tc>
      </w:tr>
      <w:tr w:rsidTr="00C55C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C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C8C">
            <w:pPr>
              <w:pStyle w:val="BodyText"/>
              <w:rPr>
                <w:lang w:val="en-NZ"/>
              </w:rPr>
            </w:pPr>
            <w:r w:rsidRPr="00C55C8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C8C">
            <w:pPr>
              <w:pStyle w:val="BodyText"/>
              <w:rPr>
                <w:lang w:val="en-NZ"/>
              </w:rPr>
            </w:pPr>
            <w:r w:rsidRPr="00C55C8C">
              <w:t>Incident is reported to appropriate emergency response agency as required</w:t>
            </w:r>
          </w:p>
        </w:tc>
      </w:tr>
      <w:tr w:rsidTr="00C55C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C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C8C">
            <w:pPr>
              <w:pStyle w:val="BodyText"/>
              <w:rPr>
                <w:lang w:val="en-NZ"/>
              </w:rPr>
            </w:pPr>
            <w:r w:rsidRPr="00C55C8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C8C">
            <w:pPr>
              <w:pStyle w:val="BodyText"/>
              <w:rPr>
                <w:lang w:val="en-NZ"/>
              </w:rPr>
            </w:pPr>
            <w:r w:rsidRPr="00C55C8C">
              <w:t>Safety information on handling hazardous materials is located and utilised</w:t>
            </w:r>
          </w:p>
        </w:tc>
      </w:tr>
      <w:tr w:rsidTr="00C55C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C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C8C">
            <w:pPr>
              <w:pStyle w:val="BodyText"/>
              <w:rPr>
                <w:lang w:val="en-NZ"/>
              </w:rPr>
            </w:pPr>
            <w:r w:rsidRPr="00C55C8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C8C">
            <w:pPr>
              <w:pStyle w:val="BodyText"/>
              <w:rPr>
                <w:lang w:val="en-NZ"/>
              </w:rPr>
            </w:pPr>
            <w:r w:rsidRPr="00C55C8C">
              <w:t>Operational procedures and equipment for responding to a hazardous materials incident are emp</w:t>
            </w:r>
            <w:r w:rsidRPr="00C55C8C">
              <w:t>loyed</w:t>
            </w:r>
          </w:p>
        </w:tc>
      </w:tr>
      <w:tr w:rsidTr="00C55C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C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C8C">
            <w:pPr>
              <w:pStyle w:val="BodyText"/>
              <w:rPr>
                <w:lang w:val="en-NZ"/>
              </w:rPr>
            </w:pPr>
            <w:r w:rsidRPr="00C55C8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C8C">
            <w:pPr>
              <w:pStyle w:val="BodyText"/>
              <w:rPr>
                <w:lang w:val="en-NZ"/>
              </w:rPr>
            </w:pPr>
            <w:r w:rsidRPr="00C55C8C">
              <w:t>Notice to Airman (NOTAM) advisory action is taken or cancelled as required</w:t>
            </w:r>
          </w:p>
        </w:tc>
      </w:tr>
      <w:tr w:rsidTr="00C55C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C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C8C">
            <w:pPr>
              <w:pStyle w:val="BodyText"/>
              <w:rPr>
                <w:lang w:val="en-NZ"/>
              </w:rPr>
            </w:pPr>
            <w:r w:rsidRPr="00C55C8C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C8C">
            <w:pPr>
              <w:pStyle w:val="BodyText"/>
              <w:rPr>
                <w:lang w:val="en-NZ"/>
              </w:rPr>
            </w:pPr>
            <w:r w:rsidRPr="00C55C8C">
              <w:t>Compliance with work health and safety (WHS)/occupational health and safety (OHS) and environmental implications of a spill is maintained</w:t>
            </w:r>
          </w:p>
        </w:tc>
      </w:tr>
      <w:tr w:rsidTr="00C55C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C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C8C">
            <w:pPr>
              <w:pStyle w:val="BodyText"/>
              <w:rPr>
                <w:lang w:val="en-NZ"/>
              </w:rPr>
            </w:pPr>
            <w:r w:rsidRPr="00C55C8C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C8C">
            <w:pPr>
              <w:pStyle w:val="BodyText"/>
              <w:rPr>
                <w:lang w:val="en-NZ"/>
              </w:rPr>
            </w:pPr>
            <w:r w:rsidRPr="00C55C8C">
              <w:t>Incident clean-up or control operations are supervised</w:t>
            </w:r>
          </w:p>
        </w:tc>
      </w:tr>
      <w:tr w:rsidTr="00C55C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C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C8C">
            <w:pPr>
              <w:pStyle w:val="BodyText"/>
              <w:rPr>
                <w:lang w:val="en-NZ"/>
              </w:rPr>
            </w:pPr>
            <w:r w:rsidRPr="00C55C8C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C8C" w:rsidP="00C55C8C">
            <w:pPr>
              <w:pStyle w:val="BodyText"/>
            </w:pPr>
            <w:r w:rsidRPr="00C55C8C">
              <w:t>Hazardous material incident register and records are maintained</w:t>
            </w:r>
          </w:p>
        </w:tc>
      </w:tr>
    </w:tbl>
    <w:p w:rsidR="00000000" w:rsidRPr="00C55C8C" w:rsidP="00C55C8C">
      <w:pPr>
        <w:pStyle w:val="NoPaddingFontSize1"/>
      </w:pPr>
    </w:p>
    <w:p w:rsidR="00000000" w:rsidRPr="00C55C8C" w:rsidP="00C55C8C">
      <w:pPr>
        <w:pStyle w:val="AllowPageBreak"/>
      </w:pPr>
    </w:p>
    <w:p w:rsidR="00000000" w:rsidRPr="00C55C8C" w:rsidP="00C55C8C">
      <w:pPr>
        <w:pStyle w:val="Heading1"/>
      </w:pPr>
      <w:bookmarkStart w:id="7" w:name="O_1025657"/>
      <w:bookmarkEnd w:id="7"/>
      <w:r w:rsidRPr="00C55C8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5C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C8C" w:rsidP="00C55C8C">
            <w:pPr>
              <w:pStyle w:val="BodyText"/>
            </w:pPr>
            <w:r w:rsidRPr="00C55C8C">
              <w:t>Foundation skills essential to performance are explicit in the performance criteria of this</w:t>
            </w:r>
            <w:r w:rsidRPr="00C55C8C">
              <w:t xml:space="preserve"> unit of competency.</w:t>
            </w:r>
          </w:p>
        </w:tc>
      </w:tr>
    </w:tbl>
    <w:p w:rsidR="00000000" w:rsidRPr="00C55C8C" w:rsidP="00C55C8C">
      <w:pPr>
        <w:pStyle w:val="NoPaddingFontSize1"/>
      </w:pPr>
    </w:p>
    <w:p w:rsidR="00000000" w:rsidRPr="00C55C8C" w:rsidP="00C55C8C">
      <w:pPr>
        <w:pStyle w:val="AllowPageBreak"/>
      </w:pPr>
    </w:p>
    <w:p w:rsidR="00000000" w:rsidRPr="00C55C8C" w:rsidP="00C55C8C">
      <w:pPr>
        <w:pStyle w:val="Heading1"/>
      </w:pPr>
      <w:bookmarkStart w:id="8" w:name="O_1025658"/>
      <w:bookmarkEnd w:id="8"/>
      <w:r w:rsidRPr="00C55C8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5C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C8C" w:rsidP="00C55C8C">
            <w:pPr>
              <w:pStyle w:val="BodyText"/>
            </w:pPr>
            <w:r w:rsidRPr="00C55C8C">
              <w:t>Range is restricted to essential operating conditions and any other variables essential to the work environment.</w:t>
            </w:r>
          </w:p>
        </w:tc>
      </w:tr>
    </w:tbl>
    <w:p w:rsidR="00000000" w:rsidRPr="00C55C8C" w:rsidP="00C55C8C">
      <w:pPr>
        <w:pStyle w:val="NoPaddingFontSize1"/>
      </w:pPr>
    </w:p>
    <w:p w:rsidR="00000000" w:rsidRPr="00C55C8C" w:rsidP="00C55C8C">
      <w:pPr>
        <w:pStyle w:val="AllowPageBreak"/>
      </w:pPr>
    </w:p>
    <w:p w:rsidR="00000000" w:rsidRPr="00C55C8C" w:rsidP="00C55C8C">
      <w:pPr>
        <w:pStyle w:val="Heading1"/>
      </w:pPr>
      <w:bookmarkStart w:id="9" w:name="O_1025659"/>
      <w:bookmarkEnd w:id="9"/>
      <w:r w:rsidRPr="00C55C8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5C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C8C" w:rsidP="00C55C8C">
            <w:pPr>
              <w:pStyle w:val="BodyText"/>
            </w:pPr>
            <w:r w:rsidRPr="00C55C8C">
              <w:t>This unit replaces and is equivalent to AVIF2012 Monitor the transfer of hazardous materials.</w:t>
            </w:r>
          </w:p>
        </w:tc>
      </w:tr>
    </w:tbl>
    <w:p w:rsidR="00000000" w:rsidRPr="00C55C8C" w:rsidP="00C55C8C">
      <w:pPr>
        <w:pStyle w:val="NoPaddingFontSize1"/>
      </w:pPr>
    </w:p>
    <w:p w:rsidR="00000000" w:rsidRPr="00C55C8C" w:rsidP="00C55C8C">
      <w:pPr>
        <w:pStyle w:val="AllowPageBreak"/>
      </w:pPr>
    </w:p>
    <w:p w:rsidR="00000000" w:rsidRPr="00C55C8C" w:rsidP="00C55C8C">
      <w:pPr>
        <w:pStyle w:val="Heading1"/>
      </w:pPr>
      <w:bookmarkStart w:id="10" w:name="O_1025666"/>
      <w:bookmarkEnd w:id="10"/>
      <w:r w:rsidRPr="00C55C8C">
        <w:t>Links</w:t>
      </w:r>
    </w:p>
    <w:p w:rsidR="00000000" w:rsidRPr="00C55C8C" w:rsidP="00C358FB">
      <w:pPr>
        <w:pStyle w:val="BodyText"/>
      </w:pPr>
      <w:r w:rsidRPr="00C55C8C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DC3FF3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C55C8C" w:rsidP="00C55C8C"/>
    <w:sectPr w:rsidSect="00C55C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C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C8C" w:rsidRPr="00C358FB" w:rsidP="00C358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C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8FB" w:rsidP="00C55C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58FB" w:rsidP="00C55C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358FB" w:rsidP="00C55C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C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8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5C8C" w:rsidRPr="00C358FB" w:rsidP="00C358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C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8FB" w:rsidRPr="002D2AF8" w:rsidP="00C55C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AVIF0037 Monitor the transfer of hazardous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C358FB" w:rsidP="00C55C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5C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5C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5C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5C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5C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5C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5C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5C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5C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5C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5C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5C8C"/>
  </w:style>
  <w:style w:type="character" w:customStyle="1" w:styleId="Heading1Char">
    <w:name w:val="Heading 1 Char"/>
    <w:basedOn w:val="DefaultParagraphFont"/>
    <w:link w:val="Heading1"/>
    <w:rsid w:val="00C55C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5C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5C8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55C8C"/>
    <w:rPr>
      <w:b/>
      <w:spacing w:val="0"/>
    </w:rPr>
  </w:style>
  <w:style w:type="paragraph" w:customStyle="1" w:styleId="SuperHeading">
    <w:name w:val="SuperHeading"/>
    <w:basedOn w:val="Normal"/>
    <w:rsid w:val="00C55C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5C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55C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5C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5C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5C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5C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5C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5C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5C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5C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5C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5C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5C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5C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5C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5C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5C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5C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5C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5C8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55C8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55C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5C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5C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5C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5C8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5C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5C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5C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5C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5C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5C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5C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5C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5C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5C8C"/>
    <w:rPr>
      <w:i/>
    </w:rPr>
  </w:style>
  <w:style w:type="paragraph" w:styleId="Caption">
    <w:name w:val="caption"/>
    <w:basedOn w:val="BodyText"/>
    <w:next w:val="Normal"/>
    <w:qFormat/>
    <w:rsid w:val="00C55C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5C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5C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5C8C"/>
  </w:style>
  <w:style w:type="paragraph" w:styleId="TableofFigures">
    <w:name w:val="table of figures"/>
    <w:basedOn w:val="Normal"/>
    <w:next w:val="Normal"/>
    <w:semiHidden/>
    <w:rsid w:val="00C55C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5C8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55C8C"/>
    <w:rPr>
      <w:rFonts w:ascii="Wingdings" w:hAnsi="Wingdings"/>
    </w:rPr>
  </w:style>
  <w:style w:type="paragraph" w:customStyle="1" w:styleId="TableHeading">
    <w:name w:val="Table Heading"/>
    <w:basedOn w:val="HeadingBase"/>
    <w:rsid w:val="00C55C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5C8C"/>
    <w:rPr>
      <w:color w:val="0033CC"/>
      <w:u w:val="none"/>
    </w:rPr>
  </w:style>
  <w:style w:type="paragraph" w:customStyle="1" w:styleId="BodyTextRight">
    <w:name w:val="Body Text Right"/>
    <w:basedOn w:val="BodyText"/>
    <w:rsid w:val="00C55C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5C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5C8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5C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5C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5C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5C8C"/>
    <w:rPr>
      <w:sz w:val="32"/>
    </w:rPr>
  </w:style>
  <w:style w:type="paragraph" w:customStyle="1" w:styleId="HeadingProcedure">
    <w:name w:val="Heading Procedure"/>
    <w:basedOn w:val="HeadingBase"/>
    <w:next w:val="Normal"/>
    <w:rsid w:val="00C55C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5C8C"/>
    <w:pPr>
      <w:spacing w:before="60" w:after="60"/>
    </w:pPr>
  </w:style>
  <w:style w:type="paragraph" w:styleId="ListContinue">
    <w:name w:val="List Continue"/>
    <w:basedOn w:val="List"/>
    <w:rsid w:val="00C55C8C"/>
    <w:pPr>
      <w:ind w:firstLine="0"/>
    </w:pPr>
  </w:style>
  <w:style w:type="paragraph" w:customStyle="1" w:styleId="ListNote">
    <w:name w:val="List Note"/>
    <w:basedOn w:val="List"/>
    <w:rsid w:val="00C55C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5C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5C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5C8C"/>
    <w:rPr>
      <w:rFonts w:ascii="Courier New" w:hAnsi="Courier New"/>
    </w:rPr>
  </w:style>
  <w:style w:type="paragraph" w:customStyle="1" w:styleId="NoteBullet">
    <w:name w:val="Note Bullet"/>
    <w:basedOn w:val="Note"/>
    <w:rsid w:val="00C55C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5C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5C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5C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5C8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55C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5C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5C8C"/>
    <w:rPr>
      <w:b/>
      <w:smallCaps/>
    </w:rPr>
  </w:style>
  <w:style w:type="paragraph" w:customStyle="1" w:styleId="TableListNumber">
    <w:name w:val="Table List Number"/>
    <w:basedOn w:val="ListNumber"/>
    <w:rsid w:val="00C55C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5C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5C8C"/>
    <w:pPr>
      <w:numPr>
        <w:numId w:val="7"/>
      </w:numPr>
    </w:pPr>
  </w:style>
  <w:style w:type="paragraph" w:customStyle="1" w:styleId="ListAlpha2">
    <w:name w:val="List Alpha 2"/>
    <w:basedOn w:val="List2"/>
    <w:rsid w:val="00C55C8C"/>
    <w:pPr>
      <w:numPr>
        <w:numId w:val="6"/>
      </w:numPr>
    </w:pPr>
  </w:style>
  <w:style w:type="paragraph" w:styleId="List2">
    <w:name w:val="List 2"/>
    <w:basedOn w:val="BodyText"/>
    <w:rsid w:val="00C55C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5C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5C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5C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5C8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5C8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55C8C"/>
    <w:pPr>
      <w:numPr>
        <w:numId w:val="2"/>
      </w:numPr>
    </w:pPr>
  </w:style>
  <w:style w:type="paragraph" w:styleId="ListContinue2">
    <w:name w:val="List Continue 2"/>
    <w:basedOn w:val="List2"/>
    <w:rsid w:val="00C55C8C"/>
    <w:pPr>
      <w:ind w:firstLine="0"/>
    </w:pPr>
  </w:style>
  <w:style w:type="paragraph" w:styleId="ListContinue3">
    <w:name w:val="List Continue 3"/>
    <w:basedOn w:val="List3"/>
    <w:rsid w:val="00C55C8C"/>
    <w:pPr>
      <w:ind w:left="1021" w:firstLine="0"/>
    </w:pPr>
  </w:style>
  <w:style w:type="paragraph" w:styleId="ListContinue4">
    <w:name w:val="List Continue 4"/>
    <w:basedOn w:val="List4"/>
    <w:rsid w:val="00C55C8C"/>
    <w:pPr>
      <w:ind w:firstLine="0"/>
    </w:pPr>
  </w:style>
  <w:style w:type="paragraph" w:styleId="ListContinue5">
    <w:name w:val="List Continue 5"/>
    <w:basedOn w:val="List5"/>
    <w:rsid w:val="00C55C8C"/>
    <w:pPr>
      <w:ind w:firstLine="0"/>
    </w:pPr>
  </w:style>
  <w:style w:type="paragraph" w:styleId="ListNumber3">
    <w:name w:val="List Number 3"/>
    <w:basedOn w:val="List3"/>
    <w:rsid w:val="00C55C8C"/>
    <w:pPr>
      <w:numPr>
        <w:numId w:val="3"/>
      </w:numPr>
    </w:pPr>
  </w:style>
  <w:style w:type="paragraph" w:styleId="ListNumber4">
    <w:name w:val="List Number 4"/>
    <w:basedOn w:val="List4"/>
    <w:rsid w:val="00C55C8C"/>
    <w:pPr>
      <w:numPr>
        <w:numId w:val="4"/>
      </w:numPr>
    </w:pPr>
  </w:style>
  <w:style w:type="paragraph" w:styleId="ListNumber5">
    <w:name w:val="List Number 5"/>
    <w:basedOn w:val="List5"/>
    <w:rsid w:val="00C55C8C"/>
    <w:pPr>
      <w:numPr>
        <w:numId w:val="5"/>
      </w:numPr>
    </w:pPr>
  </w:style>
  <w:style w:type="paragraph" w:styleId="BlockText">
    <w:name w:val="Block Text"/>
    <w:basedOn w:val="Normal"/>
    <w:rsid w:val="00C55C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5C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5C8C"/>
    <w:rPr>
      <w:sz w:val="16"/>
      <w:vertAlign w:val="superscript"/>
    </w:rPr>
  </w:style>
  <w:style w:type="character" w:customStyle="1" w:styleId="Symbols">
    <w:name w:val="Symbols"/>
    <w:basedOn w:val="DefaultParagraphFont"/>
    <w:rsid w:val="00C55C8C"/>
    <w:rPr>
      <w:rFonts w:ascii="Symbol" w:hAnsi="Symbol"/>
    </w:rPr>
  </w:style>
  <w:style w:type="character" w:customStyle="1" w:styleId="MenuOptions">
    <w:name w:val="Menu Options"/>
    <w:basedOn w:val="DefaultParagraphFont"/>
    <w:rsid w:val="00C55C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5C8C"/>
    <w:rPr>
      <w:b/>
    </w:rPr>
  </w:style>
  <w:style w:type="character" w:customStyle="1" w:styleId="Underlined">
    <w:name w:val="Underlined"/>
    <w:basedOn w:val="DefaultParagraphFont"/>
    <w:rsid w:val="00C55C8C"/>
    <w:rPr>
      <w:u w:val="single"/>
    </w:rPr>
  </w:style>
  <w:style w:type="paragraph" w:customStyle="1" w:styleId="TableBodyTextRight">
    <w:name w:val="Table Body Text Right"/>
    <w:basedOn w:val="TableBodyText"/>
    <w:rsid w:val="00C55C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5C8C"/>
    <w:rPr>
      <w:sz w:val="18"/>
    </w:rPr>
  </w:style>
  <w:style w:type="paragraph" w:customStyle="1" w:styleId="BodySmallRight">
    <w:name w:val="Body Small Right"/>
    <w:basedOn w:val="BodyTextRight"/>
    <w:rsid w:val="00C55C8C"/>
    <w:rPr>
      <w:sz w:val="18"/>
      <w:szCs w:val="18"/>
    </w:rPr>
  </w:style>
  <w:style w:type="paragraph" w:customStyle="1" w:styleId="MarginEdition">
    <w:name w:val="Margin Edition"/>
    <w:basedOn w:val="MarginNote"/>
    <w:rsid w:val="00C55C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5C8C"/>
    <w:rPr>
      <w:sz w:val="2"/>
      <w:szCs w:val="2"/>
    </w:rPr>
  </w:style>
  <w:style w:type="character" w:customStyle="1" w:styleId="Small">
    <w:name w:val="Small"/>
    <w:basedOn w:val="DefaultParagraphFont"/>
    <w:rsid w:val="00C55C8C"/>
    <w:rPr>
      <w:sz w:val="16"/>
    </w:rPr>
  </w:style>
  <w:style w:type="paragraph" w:customStyle="1" w:styleId="WideTable">
    <w:name w:val="Wide Table"/>
    <w:basedOn w:val="Normal"/>
    <w:rsid w:val="00C55C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5C8C"/>
  </w:style>
  <w:style w:type="paragraph" w:styleId="Quote">
    <w:name w:val="Quote"/>
    <w:basedOn w:val="Heading1"/>
    <w:link w:val="QuoteChar"/>
    <w:qFormat/>
    <w:rsid w:val="00C55C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5C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5C8C"/>
    <w:pPr>
      <w:pageBreakBefore/>
    </w:pPr>
  </w:style>
  <w:style w:type="paragraph" w:customStyle="1" w:styleId="Border">
    <w:name w:val="Border"/>
    <w:basedOn w:val="Normal"/>
    <w:qFormat/>
    <w:rsid w:val="00C55C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5C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5C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5C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5C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5C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5C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5C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5C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5C8C"/>
    <w:rPr>
      <w:u w:val="single"/>
    </w:rPr>
  </w:style>
  <w:style w:type="character" w:customStyle="1" w:styleId="BoldandItalics">
    <w:name w:val="Bold and Italics"/>
    <w:qFormat/>
    <w:rsid w:val="00C55C8C"/>
    <w:rPr>
      <w:b/>
      <w:i/>
      <w:u w:val="none"/>
    </w:rPr>
  </w:style>
  <w:style w:type="paragraph" w:styleId="BalloonText">
    <w:name w:val="Balloon Text"/>
    <w:basedOn w:val="Normal"/>
    <w:link w:val="BalloonTextChar"/>
    <w:rsid w:val="00C55C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5C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5C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5C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5C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5C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5C8C"/>
    <w:pPr>
      <w:spacing w:before="0" w:after="0"/>
    </w:pPr>
  </w:style>
  <w:style w:type="paragraph" w:customStyle="1" w:styleId="BodyTextBold">
    <w:name w:val="Body Text Bold"/>
    <w:basedOn w:val="BodyText"/>
    <w:qFormat/>
    <w:rsid w:val="00C55C8C"/>
    <w:rPr>
      <w:b/>
    </w:rPr>
  </w:style>
  <w:style w:type="character" w:styleId="Hyperlink">
    <w:name w:val="Hyperlink"/>
    <w:basedOn w:val="DefaultParagraphFont"/>
    <w:uiPriority w:val="99"/>
    <w:unhideWhenUsed/>
    <w:rsid w:val="00C358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474</Words>
  <Characters>3020</Characters>
  <Application>Microsoft Office Word</Application>
  <DocSecurity>0</DocSecurity>
  <Lines>143</Lines>
  <Paragraphs>74</Paragraphs>
  <ScaleCrop>false</ScaleCrop>
  <Company>Author-it Software Corporation Ltd.</Company>
  <LinksUpToDate>false</LinksUpToDate>
  <CharactersWithSpaces>3420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AVIF0037 Monitor the transfer of hazardous materials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2022-10-20T02:19:00Z</dcterms:created>
  <dcterms:modified xsi:type="dcterms:W3CDTF">2022-10-20T02:19:00Z</dcterms:modified>
</cp:coreProperties>
</file>