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88B" w:rsidP="00B4788B">
      <w:pPr>
        <w:pStyle w:val="Title"/>
      </w:pPr>
      <w:r>
        <w:fldChar w:fldCharType="begin"/>
      </w:r>
      <w:r>
        <w:instrText xml:space="preserve"> TITLE   \* MERGEFORMAT </w:instrText>
      </w:r>
      <w:r>
        <w:fldChar w:fldCharType="separate"/>
      </w:r>
      <w:r>
        <w:t>AVIF0005 Implement aviation fatigue risk management processes</w:t>
      </w:r>
      <w:r>
        <w:fldChar w:fldCharType="end"/>
      </w:r>
    </w:p>
    <w:p w:rsidR="00B4788B" w:rsidP="00B4788B">
      <w:pPr>
        <w:pStyle w:val="Version"/>
        <w:sectPr w:rsidSect="00335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50A6" w:rsidP="003350A6">
      <w:pPr>
        <w:pStyle w:val="SuperHeading"/>
      </w:pPr>
      <w:r w:rsidRPr="003350A6">
        <w:t>AVIF0005 Implement aviation fatigue risk management processes</w:t>
      </w:r>
    </w:p>
    <w:p w:rsidR="00000000" w:rsidRPr="003350A6" w:rsidP="003350A6">
      <w:pPr>
        <w:pStyle w:val="Heading1"/>
      </w:pPr>
      <w:bookmarkStart w:id="1" w:name="O_862149"/>
      <w:bookmarkEnd w:id="1"/>
      <w:r w:rsidRPr="003350A6">
        <w:t>Modification History</w:t>
      </w:r>
    </w:p>
    <w:p w:rsidR="00000000" w:rsidRPr="003350A6" w:rsidP="00B4788B">
      <w:pPr>
        <w:pStyle w:val="BodyText"/>
      </w:pPr>
      <w:r w:rsidRPr="003350A6">
        <w:t>Release 2. ISC upgrade - a statement relevant to Defence Aviation has been added to the Application of the unit.</w:t>
      </w:r>
    </w:p>
    <w:p w:rsidR="00B4788B" w:rsidP="00B4788B">
      <w:pPr>
        <w:pStyle w:val="BodyText"/>
      </w:pPr>
      <w:r w:rsidRPr="003350A6">
        <w:t>Release 1. This is the first release of this unit of competency in the AVI Aviation Training Package.</w:t>
      </w:r>
    </w:p>
    <w:p w:rsidR="00000000" w:rsidRPr="003350A6" w:rsidP="003350A6">
      <w:pPr>
        <w:pStyle w:val="Heading1"/>
      </w:pPr>
      <w:bookmarkStart w:id="2" w:name="O_862148"/>
      <w:bookmarkEnd w:id="2"/>
      <w:r w:rsidRPr="003350A6">
        <w:t>Application</w:t>
      </w:r>
    </w:p>
    <w:tbl>
      <w:tblPr>
        <w:tblW w:w="0" w:type="auto"/>
        <w:tblCellMar>
          <w:left w:w="62" w:type="dxa"/>
          <w:right w:w="62" w:type="dxa"/>
        </w:tblCellMar>
        <w:tblLook w:val="0000"/>
      </w:tblPr>
      <w:tblGrid>
        <w:gridCol w:w="9196"/>
      </w:tblGrid>
      <w:tr w:rsidTr="00B478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t>This unit involves the skills and knowledge required to implement aviation fatigue risk management processes, in compliance with relevant regulatory requirements of the Civil Aviation Safety Authority and national operating stan</w:t>
            </w:r>
            <w:r w:rsidRPr="003350A6">
              <w:t>dards.</w:t>
            </w:r>
          </w:p>
          <w:p w:rsidR="00000000" w:rsidRPr="003350A6" w:rsidP="003350A6">
            <w:pPr>
              <w:pStyle w:val="BodyText"/>
            </w:pPr>
            <w:r w:rsidRPr="003350A6">
              <w:t>It includes identifying, controlling, monitoring and reviewing the effectiveness of fatigue risk management processes as part of a safety management system (SMS).</w:t>
            </w:r>
          </w:p>
          <w:p w:rsidR="00000000" w:rsidRPr="003350A6" w:rsidP="003350A6">
            <w:pPr>
              <w:pStyle w:val="BodyText"/>
            </w:pPr>
            <w:r w:rsidRPr="003350A6">
              <w:t>Work involves managing the effects of fatigue on operational objectives using an SMS w</w:t>
            </w:r>
            <w:r w:rsidRPr="003350A6">
              <w:t>ithin a variety of operational contexts within the Australian aviation industry.</w:t>
            </w:r>
          </w:p>
          <w:p w:rsidR="00000000" w:rsidRPr="003350A6" w:rsidP="003350A6">
            <w:pPr>
              <w:pStyle w:val="BodyText"/>
            </w:pPr>
            <w:r w:rsidRPr="003350A6">
              <w:t>This unit addresses aviation non-technical skill requirements (mental, social and personal-management abilities) related to safety management duties that complement the techni</w:t>
            </w:r>
            <w:r w:rsidRPr="003350A6">
              <w:t>cal skills of aviation personnel and contributes to safe and effective performance in complex aviation operational environments.</w:t>
            </w:r>
          </w:p>
          <w:p w:rsidR="00000000" w:rsidRPr="003350A6" w:rsidP="003350A6">
            <w:pPr>
              <w:pStyle w:val="BodyText"/>
            </w:pPr>
            <w:r w:rsidRPr="003350A6">
              <w:t>Work is performed independently or under limited supervision as a single operator or within a team environment.</w:t>
            </w:r>
          </w:p>
          <w:p w:rsidR="00000000" w:rsidRPr="003350A6" w:rsidP="003350A6">
            <w:pPr>
              <w:pStyle w:val="BodyText"/>
            </w:pPr>
            <w:r w:rsidRPr="003350A6">
              <w:t>Work is perform</w:t>
            </w:r>
            <w:r w:rsidRPr="003350A6">
              <w:t>ed independently or under limited supervision within a single-pilot or multi-crew environment.</w:t>
            </w:r>
          </w:p>
          <w:p w:rsidR="00000000" w:rsidRPr="003350A6" w:rsidP="003350A6">
            <w:pPr>
              <w:pStyle w:val="BodyText"/>
            </w:pPr>
            <w:r w:rsidRPr="003350A6">
              <w:t>Licensing, legislative, regulatory or certification requirements are applicable to this unit.</w:t>
            </w:r>
          </w:p>
          <w:p w:rsidR="00000000" w:rsidRPr="003350A6" w:rsidP="003350A6">
            <w:pPr>
              <w:pStyle w:val="BodyText"/>
            </w:pPr>
            <w:r w:rsidRPr="003350A6">
              <w:t>Use for Defence Aviation is to be in accordance with relevant Defen</w:t>
            </w:r>
            <w:r w:rsidRPr="003350A6">
              <w:t>ce Orders, Instructions, Publications and Regulations.</w:t>
            </w:r>
          </w:p>
          <w:p w:rsidR="00000000" w:rsidRPr="003350A6" w:rsidP="003350A6">
            <w:pPr>
              <w:pStyle w:val="BodyText"/>
            </w:pPr>
          </w:p>
        </w:tc>
      </w:tr>
    </w:tbl>
    <w:p w:rsidR="00B4788B" w:rsidP="003350A6">
      <w:pPr>
        <w:pStyle w:val="BodyText"/>
      </w:pPr>
    </w:p>
    <w:p w:rsidR="00B4788B" w:rsidP="003350A6">
      <w:pPr>
        <w:pStyle w:val="BodyText"/>
      </w:pPr>
    </w:p>
    <w:p w:rsidR="00000000" w:rsidRPr="003350A6" w:rsidP="003350A6">
      <w:pPr>
        <w:pStyle w:val="Heading1"/>
      </w:pPr>
      <w:bookmarkStart w:id="3" w:name="O_862147"/>
      <w:bookmarkEnd w:id="3"/>
      <w:r w:rsidRPr="003350A6">
        <w:t>Pre-requisite Unit</w:t>
      </w:r>
    </w:p>
    <w:p w:rsidR="00000000" w:rsidRPr="003350A6" w:rsidP="00B4788B">
      <w:pPr>
        <w:pStyle w:val="BodyText"/>
      </w:pPr>
      <w:r w:rsidRPr="003350A6">
        <w:t>Not applicable.</w:t>
      </w:r>
    </w:p>
    <w:p w:rsidR="00000000" w:rsidRPr="003350A6" w:rsidP="003350A6">
      <w:pPr>
        <w:pStyle w:val="Heading1"/>
      </w:pPr>
      <w:bookmarkStart w:id="4" w:name="O_862146"/>
      <w:bookmarkEnd w:id="4"/>
      <w:r w:rsidRPr="003350A6">
        <w:t>Competency Field</w:t>
      </w:r>
    </w:p>
    <w:p w:rsidR="00B4788B" w:rsidP="00B4788B">
      <w:pPr>
        <w:pStyle w:val="BodyText"/>
      </w:pPr>
      <w:r w:rsidRPr="003350A6">
        <w:t>F – Safety Management</w:t>
      </w:r>
    </w:p>
    <w:p w:rsidR="00000000" w:rsidRPr="003350A6" w:rsidP="003350A6">
      <w:pPr>
        <w:pStyle w:val="Heading1"/>
      </w:pPr>
      <w:bookmarkStart w:id="5" w:name="O_862145"/>
      <w:bookmarkEnd w:id="5"/>
      <w:r w:rsidRPr="003350A6">
        <w:t>Unit Sector</w:t>
      </w:r>
    </w:p>
    <w:p w:rsidR="00000000" w:rsidRPr="003350A6" w:rsidP="00B4788B">
      <w:pPr>
        <w:pStyle w:val="BodyText"/>
      </w:pPr>
      <w:r w:rsidRPr="003350A6">
        <w:t>Not applicable.</w:t>
      </w:r>
    </w:p>
    <w:p w:rsidR="00000000" w:rsidRPr="003350A6" w:rsidP="003350A6">
      <w:pPr>
        <w:pStyle w:val="Heading1"/>
      </w:pPr>
      <w:bookmarkStart w:id="6" w:name="O_862144"/>
      <w:bookmarkEnd w:id="6"/>
      <w:r w:rsidRPr="003350A6">
        <w:t>Element</w:t>
      </w:r>
      <w:r w:rsidRPr="003350A6">
        <w:t>s and Performance Criteria</w:t>
      </w:r>
    </w:p>
    <w:tbl>
      <w:tblPr>
        <w:tblW w:w="0" w:type="auto"/>
        <w:tblCellMar>
          <w:left w:w="62" w:type="dxa"/>
          <w:right w:w="62" w:type="dxa"/>
        </w:tblCellMar>
        <w:tblLook w:val="0000"/>
      </w:tblPr>
      <w:tblGrid>
        <w:gridCol w:w="330"/>
        <w:gridCol w:w="1756"/>
        <w:gridCol w:w="1"/>
        <w:gridCol w:w="549"/>
        <w:gridCol w:w="6560"/>
      </w:tblGrid>
      <w:tr w:rsidTr="00B478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rPr>
                <w:rStyle w:val="SpecialBold"/>
              </w:rPr>
              <w:t>PERFORMANCE CRITERIA</w:t>
            </w:r>
          </w:p>
        </w:tc>
      </w:tr>
      <w:tr w:rsidTr="00B478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Performance criteria describe the performance needed to demonstrate achievement of the element.</w:t>
            </w:r>
          </w:p>
        </w:tc>
      </w:tr>
      <w:tr w:rsidTr="00B478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rPr>
                <w:rStyle w:val="SpecialBold"/>
              </w:rPr>
              <w:t>Identify fatigue hazards and assess risk</w:t>
            </w: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1.1</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hazards are identified through organisational methods in accordance with workplace standards</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1.2</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Stakeholders are identified and involved in the risk assessment process</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1.3</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Likelihood and consequence of fatigue hazards are assessed and ranked</w:t>
            </w:r>
            <w:r w:rsidRPr="003350A6">
              <w:t xml:space="preserve"> against established organisational risk assessment criteria</w:t>
            </w:r>
          </w:p>
        </w:tc>
      </w:tr>
      <w:tr w:rsidTr="00B478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rPr>
                <w:rStyle w:val="SpecialBold"/>
              </w:rPr>
              <w:t xml:space="preserve">Identify fatigue risk controls </w:t>
            </w:r>
          </w:p>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2.1</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Controls that reduce fatigue risk to as low as reasonably practicable (ALARP) are identified in accordance with workplace policies and procedures</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2.2</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risk management documentation is completed and checked for accuracy</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2.3</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risk management action plan is developed and communicated to all stakeholders</w:t>
            </w:r>
          </w:p>
        </w:tc>
      </w:tr>
      <w:tr w:rsidTr="00B478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rPr>
                <w:rStyle w:val="SpecialBold"/>
              </w:rPr>
              <w:t>Control fatigue risk</w:t>
            </w: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3.1</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Control selection is determined with consideration of effect on stakeholders</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 xml:space="preserve">3.2 </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risk control methods are communicated to stakeholders</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3.3</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Selected control method is implemented, monitored and evaluated</w:t>
            </w:r>
          </w:p>
        </w:tc>
      </w:tr>
      <w:tr w:rsidTr="00B478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rPr>
                <w:rStyle w:val="SpecialBold"/>
              </w:rPr>
              <w:t>Monitor and review effectiveness of fatigue risk control</w:t>
            </w: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4.1</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Implemented risk controls are regularly monitored against measures of success/effectiveness</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4.2</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Assistance is provided to review fatigue risk in own area of operation</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4.3</w:t>
            </w:r>
          </w:p>
        </w:tc>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Management of fati</w:t>
            </w:r>
            <w:r w:rsidRPr="003350A6">
              <w:t>gue risk is continuously monitored and reviewed in own area of operation</w:t>
            </w:r>
          </w:p>
        </w:tc>
      </w:tr>
      <w:tr w:rsidTr="00B478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4.4</w:t>
            </w:r>
          </w:p>
        </w:tc>
        <w:tc>
          <w:tcPr>
            <w:tcW w:w="0" w:type="auto"/>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t>Review results are used to improve fatigue risk control</w:t>
            </w:r>
          </w:p>
        </w:tc>
      </w:tr>
    </w:tbl>
    <w:p w:rsidR="00B4788B" w:rsidP="003350A6">
      <w:pPr>
        <w:pStyle w:val="BodyText"/>
      </w:pPr>
    </w:p>
    <w:p w:rsidR="00B4788B" w:rsidP="003350A6">
      <w:pPr>
        <w:pStyle w:val="BodyText"/>
      </w:pPr>
    </w:p>
    <w:p w:rsidR="00000000" w:rsidRPr="003350A6" w:rsidP="003350A6">
      <w:pPr>
        <w:pStyle w:val="Heading1"/>
      </w:pPr>
      <w:bookmarkStart w:id="7" w:name="O_862143"/>
      <w:bookmarkEnd w:id="7"/>
      <w:r w:rsidRPr="003350A6">
        <w:t>Foundation Skills</w:t>
      </w:r>
    </w:p>
    <w:p w:rsidR="00B4788B" w:rsidP="00B4788B">
      <w:pPr>
        <w:pStyle w:val="BodyText"/>
      </w:pPr>
      <w:r w:rsidRPr="003350A6">
        <w:t>Foundation skills essential to performance are explicit in the performance criteria of this unit of competency.</w:t>
      </w:r>
    </w:p>
    <w:p w:rsidR="00000000" w:rsidRPr="003350A6" w:rsidP="003350A6">
      <w:pPr>
        <w:pStyle w:val="Heading1"/>
      </w:pPr>
      <w:bookmarkStart w:id="8" w:name="O_862142"/>
      <w:bookmarkEnd w:id="8"/>
      <w:r w:rsidRPr="003350A6">
        <w:t>Range of Conditions</w:t>
      </w:r>
    </w:p>
    <w:tbl>
      <w:tblPr>
        <w:tblW w:w="0" w:type="auto"/>
        <w:tblCellMar>
          <w:left w:w="62" w:type="dxa"/>
          <w:right w:w="62" w:type="dxa"/>
        </w:tblCellMar>
        <w:tblLook w:val="0000"/>
      </w:tblPr>
      <w:tblGrid>
        <w:gridCol w:w="2086"/>
        <w:gridCol w:w="7110"/>
      </w:tblGrid>
      <w:tr w:rsidTr="00B478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350A6" w:rsidP="003350A6">
            <w:pPr>
              <w:pStyle w:val="BodyText"/>
            </w:pPr>
            <w:r w:rsidRPr="003350A6">
              <w:t>Range is restricted to essential operating conditions and any other variables essential to the work enviro</w:t>
            </w:r>
            <w:r w:rsidRPr="003350A6">
              <w:t>nment.</w:t>
            </w:r>
          </w:p>
          <w:p w:rsidR="00000000" w:rsidP="003350A6">
            <w:pPr>
              <w:pStyle w:val="BodyText"/>
              <w:rPr>
                <w:lang w:val="en-NZ"/>
              </w:rPr>
            </w:pPr>
            <w:r w:rsidRPr="003350A6">
              <w:t>Non-essential conditions can be found in the Companion Volume Implementation Guide.</w:t>
            </w:r>
          </w:p>
        </w:tc>
      </w:tr>
      <w:tr w:rsidTr="00B478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Workplace standards must include:</w:t>
            </w:r>
          </w:p>
        </w:tc>
        <w:tc>
          <w:tcPr>
            <w:tcW w:w="0" w:type="auto"/>
            <w:tcBorders>
              <w:top w:val="nil"/>
              <w:left w:val="nil"/>
              <w:bottom w:val="nil"/>
              <w:right w:val="nil"/>
            </w:tcBorders>
            <w:tcMar>
              <w:top w:w="0" w:type="dxa"/>
              <w:left w:w="62" w:type="dxa"/>
              <w:bottom w:w="0" w:type="dxa"/>
              <w:right w:w="62" w:type="dxa"/>
            </w:tcMar>
          </w:tcPr>
          <w:p w:rsidR="00000000" w:rsidP="003350A6">
            <w:pPr>
              <w:pStyle w:val="ListBullet"/>
              <w:rPr>
                <w:lang w:val="en-NZ"/>
              </w:rPr>
            </w:pPr>
            <w:r w:rsidRPr="003350A6">
              <w:t xml:space="preserve">current Australian Standard (AS)/New Zealand Standard (NZS) International Standard Organization (ISO) risk management standard </w:t>
            </w:r>
          </w:p>
        </w:tc>
      </w:tr>
      <w:tr w:rsidTr="00B478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Organisational methods to identify fatigue risk hazards must include:</w:t>
            </w:r>
          </w:p>
        </w:tc>
        <w:tc>
          <w:tcPr>
            <w:tcW w:w="0" w:type="auto"/>
            <w:tcBorders>
              <w:top w:val="nil"/>
              <w:left w:val="nil"/>
              <w:bottom w:val="nil"/>
              <w:right w:val="nil"/>
            </w:tcBorders>
            <w:tcMar>
              <w:top w:w="0" w:type="dxa"/>
              <w:left w:w="62" w:type="dxa"/>
              <w:bottom w:w="0" w:type="dxa"/>
              <w:right w:w="62" w:type="dxa"/>
            </w:tcMar>
          </w:tcPr>
          <w:p w:rsidR="00000000" w:rsidRPr="003350A6" w:rsidP="003350A6">
            <w:pPr>
              <w:pStyle w:val="ListBullet"/>
            </w:pPr>
            <w:r w:rsidRPr="003350A6">
              <w:t>predictive</w:t>
            </w:r>
          </w:p>
          <w:p w:rsidR="00000000" w:rsidRPr="003350A6" w:rsidP="003350A6">
            <w:pPr>
              <w:pStyle w:val="ListBullet"/>
            </w:pPr>
            <w:r w:rsidRPr="003350A6">
              <w:t>proactive</w:t>
            </w:r>
          </w:p>
          <w:p w:rsidR="00000000" w:rsidP="003350A6">
            <w:pPr>
              <w:pStyle w:val="ListBullet"/>
              <w:rPr>
                <w:lang w:val="en-NZ"/>
              </w:rPr>
            </w:pPr>
            <w:r w:rsidRPr="003350A6">
              <w:t>reactive</w:t>
            </w:r>
          </w:p>
        </w:tc>
      </w:tr>
      <w:tr w:rsidTr="00B478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risk likelihood criteria must include:</w:t>
            </w:r>
          </w:p>
        </w:tc>
        <w:tc>
          <w:tcPr>
            <w:tcW w:w="0" w:type="auto"/>
            <w:tcBorders>
              <w:top w:val="nil"/>
              <w:left w:val="nil"/>
              <w:bottom w:val="nil"/>
              <w:right w:val="nil"/>
            </w:tcBorders>
            <w:tcMar>
              <w:top w:w="0" w:type="dxa"/>
              <w:left w:w="62" w:type="dxa"/>
              <w:bottom w:w="0" w:type="dxa"/>
              <w:right w:w="62" w:type="dxa"/>
            </w:tcMar>
          </w:tcPr>
          <w:p w:rsidR="00000000" w:rsidRPr="003350A6" w:rsidP="003350A6">
            <w:pPr>
              <w:pStyle w:val="ListBullet"/>
            </w:pPr>
            <w:r w:rsidRPr="003350A6">
              <w:t>rare</w:t>
            </w:r>
          </w:p>
          <w:p w:rsidR="00000000" w:rsidRPr="003350A6" w:rsidP="003350A6">
            <w:pPr>
              <w:pStyle w:val="ListBullet"/>
            </w:pPr>
            <w:r w:rsidRPr="003350A6">
              <w:t>unlikely</w:t>
            </w:r>
          </w:p>
          <w:p w:rsidR="00000000" w:rsidRPr="003350A6" w:rsidP="003350A6">
            <w:pPr>
              <w:pStyle w:val="ListBullet"/>
            </w:pPr>
            <w:r w:rsidRPr="003350A6">
              <w:t>possible</w:t>
            </w:r>
          </w:p>
          <w:p w:rsidR="00000000" w:rsidRPr="003350A6" w:rsidP="003350A6">
            <w:pPr>
              <w:pStyle w:val="ListBullet"/>
            </w:pPr>
            <w:r w:rsidRPr="003350A6">
              <w:t>likely</w:t>
            </w:r>
          </w:p>
          <w:p w:rsidR="00000000" w:rsidP="003350A6">
            <w:pPr>
              <w:pStyle w:val="ListBullet"/>
              <w:rPr>
                <w:lang w:val="en-NZ"/>
              </w:rPr>
            </w:pPr>
            <w:r w:rsidRPr="003350A6">
              <w:t>almost certain</w:t>
            </w:r>
          </w:p>
        </w:tc>
      </w:tr>
      <w:tr w:rsidTr="00B478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risk consequence criteria must include:</w:t>
            </w:r>
          </w:p>
        </w:tc>
        <w:tc>
          <w:tcPr>
            <w:tcW w:w="0" w:type="auto"/>
            <w:tcBorders>
              <w:top w:val="nil"/>
              <w:left w:val="nil"/>
              <w:bottom w:val="nil"/>
              <w:right w:val="nil"/>
            </w:tcBorders>
            <w:tcMar>
              <w:top w:w="0" w:type="dxa"/>
              <w:left w:w="62" w:type="dxa"/>
              <w:bottom w:w="0" w:type="dxa"/>
              <w:right w:w="62" w:type="dxa"/>
            </w:tcMar>
          </w:tcPr>
          <w:p w:rsidR="00000000" w:rsidRPr="003350A6" w:rsidP="003350A6">
            <w:pPr>
              <w:pStyle w:val="ListBullet"/>
            </w:pPr>
            <w:r w:rsidRPr="003350A6">
              <w:t>negligible</w:t>
            </w:r>
          </w:p>
          <w:p w:rsidR="00000000" w:rsidRPr="003350A6" w:rsidP="003350A6">
            <w:pPr>
              <w:pStyle w:val="ListBullet"/>
            </w:pPr>
            <w:r w:rsidRPr="003350A6">
              <w:t>minor</w:t>
            </w:r>
          </w:p>
          <w:p w:rsidR="00000000" w:rsidRPr="003350A6" w:rsidP="003350A6">
            <w:pPr>
              <w:pStyle w:val="ListBullet"/>
            </w:pPr>
            <w:r w:rsidRPr="003350A6">
              <w:t>major</w:t>
            </w:r>
          </w:p>
          <w:p w:rsidR="00000000" w:rsidRPr="003350A6" w:rsidP="003350A6">
            <w:pPr>
              <w:pStyle w:val="ListBullet"/>
            </w:pPr>
            <w:r w:rsidRPr="003350A6">
              <w:t>moderate</w:t>
            </w:r>
          </w:p>
          <w:p w:rsidR="00000000" w:rsidP="003350A6">
            <w:pPr>
              <w:pStyle w:val="ListBullet"/>
              <w:rPr>
                <w:lang w:val="en-NZ"/>
              </w:rPr>
            </w:pPr>
            <w:r w:rsidRPr="003350A6">
              <w:t>severe</w:t>
            </w:r>
          </w:p>
        </w:tc>
      </w:tr>
      <w:tr w:rsidTr="00B478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0A6">
            <w:pPr>
              <w:pStyle w:val="BodyText"/>
              <w:rPr>
                <w:lang w:val="en-NZ"/>
              </w:rPr>
            </w:pPr>
            <w:r w:rsidRPr="003350A6">
              <w:t>Fatigue risk control methods must include:</w:t>
            </w:r>
          </w:p>
        </w:tc>
        <w:tc>
          <w:tcPr>
            <w:tcW w:w="0" w:type="auto"/>
            <w:tcBorders>
              <w:top w:val="nil"/>
              <w:left w:val="nil"/>
              <w:bottom w:val="nil"/>
              <w:right w:val="nil"/>
            </w:tcBorders>
            <w:tcMar>
              <w:top w:w="0" w:type="dxa"/>
              <w:left w:w="62" w:type="dxa"/>
              <w:bottom w:w="0" w:type="dxa"/>
              <w:right w:w="62" w:type="dxa"/>
            </w:tcMar>
          </w:tcPr>
          <w:p w:rsidR="00000000" w:rsidRPr="003350A6" w:rsidP="003350A6">
            <w:pPr>
              <w:pStyle w:val="ListBullet"/>
            </w:pPr>
            <w:r w:rsidRPr="003350A6">
              <w:t>hierarchy of risk controls</w:t>
            </w:r>
          </w:p>
          <w:p w:rsidR="00000000" w:rsidRPr="003350A6" w:rsidP="003350A6">
            <w:pPr>
              <w:pStyle w:val="ListBullet2"/>
            </w:pPr>
            <w:r w:rsidRPr="003350A6">
              <w:t>elimination</w:t>
            </w:r>
          </w:p>
          <w:p w:rsidR="00000000" w:rsidRPr="003350A6" w:rsidP="003350A6">
            <w:pPr>
              <w:pStyle w:val="ListBullet2"/>
            </w:pPr>
            <w:r w:rsidRPr="003350A6">
              <w:t xml:space="preserve">substitution </w:t>
            </w:r>
          </w:p>
          <w:p w:rsidR="00000000" w:rsidRPr="003350A6" w:rsidP="003350A6">
            <w:pPr>
              <w:pStyle w:val="ListBullet2"/>
            </w:pPr>
            <w:r w:rsidRPr="003350A6">
              <w:t>engineered controls</w:t>
            </w:r>
          </w:p>
          <w:p w:rsidR="00000000" w:rsidRPr="003350A6" w:rsidP="003350A6">
            <w:pPr>
              <w:pStyle w:val="ListBullet2"/>
            </w:pPr>
            <w:r w:rsidRPr="003350A6">
              <w:t>administrative controls</w:t>
            </w:r>
          </w:p>
          <w:p w:rsidR="00000000" w:rsidRPr="003350A6" w:rsidP="003350A6">
            <w:pPr>
              <w:pStyle w:val="ListBullet2"/>
            </w:pPr>
            <w:r w:rsidRPr="003350A6">
              <w:t>personal protective equipment</w:t>
            </w:r>
          </w:p>
        </w:tc>
      </w:tr>
    </w:tbl>
    <w:p w:rsidR="00000000" w:rsidRPr="003350A6" w:rsidP="003350A6">
      <w:pPr>
        <w:pStyle w:val="BodyText"/>
      </w:pPr>
    </w:p>
    <w:p w:rsidR="00000000" w:rsidRPr="003350A6" w:rsidP="003350A6">
      <w:pPr>
        <w:pStyle w:val="AllowPageBreak"/>
      </w:pPr>
    </w:p>
    <w:p w:rsidR="00000000" w:rsidRPr="003350A6" w:rsidP="003350A6">
      <w:pPr>
        <w:pStyle w:val="Heading1"/>
      </w:pPr>
      <w:bookmarkStart w:id="9" w:name="O_862141"/>
      <w:bookmarkEnd w:id="9"/>
      <w:r w:rsidRPr="003350A6">
        <w:t>Unit Mapping Information</w:t>
      </w:r>
    </w:p>
    <w:p w:rsidR="00B4788B" w:rsidP="00B4788B">
      <w:pPr>
        <w:pStyle w:val="BodyText"/>
      </w:pPr>
      <w:r w:rsidRPr="003350A6">
        <w:t>No equivalent unit.</w:t>
      </w:r>
    </w:p>
    <w:p w:rsidR="00000000" w:rsidRPr="003350A6" w:rsidP="003350A6">
      <w:pPr>
        <w:pStyle w:val="Heading1"/>
      </w:pPr>
      <w:bookmarkStart w:id="10" w:name="O_862150"/>
      <w:bookmarkEnd w:id="10"/>
      <w:r w:rsidRPr="003350A6">
        <w:t>Links</w:t>
      </w:r>
    </w:p>
    <w:p w:rsidR="00000000" w:rsidRPr="003350A6" w:rsidP="00B4788B">
      <w:pPr>
        <w:pStyle w:val="BodyText"/>
      </w:pPr>
      <w:r w:rsidRPr="003350A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F21E5">
        <w:rPr>
          <w:rStyle w:val="Hyperlink"/>
        </w:rPr>
        <w:t>https://vetnet.education.gov.au/Pages/TrainingDocs.aspx?q=4725260a-0af3-4daf-912b-ef1c2f3e5816</w:t>
      </w:r>
      <w:r>
        <w:fldChar w:fldCharType="end"/>
      </w:r>
    </w:p>
    <w:p w:rsidR="00000000" w:rsidRPr="003350A6" w:rsidP="003350A6"/>
    <w:sectPr w:rsidSect="00335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A6" w:rsidRPr="00B4788B" w:rsidP="00B47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8B" w:rsidP="00335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788B" w:rsidP="003350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4788B" w:rsidP="00335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0A6" w:rsidRPr="00B4788B" w:rsidP="00B47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8B" w:rsidRPr="002D2AF8" w:rsidP="003350A6">
    <w:pPr>
      <w:pStyle w:val="Header"/>
      <w:framePr w:wrap="around"/>
    </w:pPr>
    <w:r>
      <w:fldChar w:fldCharType="begin"/>
    </w:r>
    <w:r>
      <w:instrText xml:space="preserve"> TITLE   \* MERGEFORMAT </w:instrText>
    </w:r>
    <w:r>
      <w:fldChar w:fldCharType="separate"/>
    </w:r>
    <w:r>
      <w:t>AVIF0005 Implement aviation fatigue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4788B" w:rsidP="00335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2A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27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240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0A6"/>
    <w:pPr>
      <w:spacing w:before="360" w:after="60"/>
      <w:outlineLvl w:val="0"/>
    </w:pPr>
    <w:rPr>
      <w:sz w:val="32"/>
    </w:rPr>
  </w:style>
  <w:style w:type="paragraph" w:styleId="Heading2">
    <w:name w:val="heading 2"/>
    <w:basedOn w:val="HeadingBase"/>
    <w:next w:val="BodyText"/>
    <w:link w:val="Heading2Char"/>
    <w:qFormat/>
    <w:rsid w:val="003350A6"/>
    <w:pPr>
      <w:keepLines/>
      <w:spacing w:before="240" w:after="120"/>
      <w:outlineLvl w:val="1"/>
    </w:pPr>
    <w:rPr>
      <w:sz w:val="28"/>
      <w:szCs w:val="40"/>
    </w:rPr>
  </w:style>
  <w:style w:type="paragraph" w:styleId="Heading3">
    <w:name w:val="heading 3"/>
    <w:basedOn w:val="HeadingBase"/>
    <w:next w:val="BodyText"/>
    <w:link w:val="Heading3Char"/>
    <w:qFormat/>
    <w:rsid w:val="003350A6"/>
    <w:pPr>
      <w:spacing w:before="180" w:after="120"/>
      <w:outlineLvl w:val="2"/>
    </w:pPr>
    <w:rPr>
      <w:spacing w:val="-10"/>
      <w:kern w:val="32"/>
    </w:rPr>
  </w:style>
  <w:style w:type="paragraph" w:styleId="Heading4">
    <w:name w:val="heading 4"/>
    <w:basedOn w:val="HeadingBase"/>
    <w:next w:val="BodyText"/>
    <w:link w:val="Heading4Char"/>
    <w:qFormat/>
    <w:rsid w:val="003350A6"/>
    <w:pPr>
      <w:spacing w:before="160" w:after="120"/>
      <w:outlineLvl w:val="3"/>
    </w:pPr>
    <w:rPr>
      <w:sz w:val="22"/>
    </w:rPr>
  </w:style>
  <w:style w:type="paragraph" w:styleId="Heading5">
    <w:name w:val="heading 5"/>
    <w:basedOn w:val="HeadingBase"/>
    <w:next w:val="Normal"/>
    <w:link w:val="Heading5Char"/>
    <w:qFormat/>
    <w:rsid w:val="003350A6"/>
    <w:pPr>
      <w:spacing w:before="80"/>
      <w:outlineLvl w:val="4"/>
    </w:pPr>
    <w:rPr>
      <w:color w:val="918585"/>
      <w:sz w:val="20"/>
    </w:rPr>
  </w:style>
  <w:style w:type="paragraph" w:styleId="Heading6">
    <w:name w:val="heading 6"/>
    <w:basedOn w:val="HeadingBase"/>
    <w:next w:val="Normal"/>
    <w:link w:val="Heading6Char"/>
    <w:qFormat/>
    <w:rsid w:val="003350A6"/>
    <w:pPr>
      <w:spacing w:before="60"/>
      <w:outlineLvl w:val="5"/>
    </w:pPr>
    <w:rPr>
      <w:color w:val="918585"/>
      <w:sz w:val="20"/>
    </w:rPr>
  </w:style>
  <w:style w:type="paragraph" w:styleId="Heading7">
    <w:name w:val="heading 7"/>
    <w:basedOn w:val="Normal"/>
    <w:next w:val="Normal"/>
    <w:link w:val="Heading7Char"/>
    <w:qFormat/>
    <w:rsid w:val="003350A6"/>
    <w:pPr>
      <w:ind w:left="720"/>
      <w:outlineLvl w:val="6"/>
    </w:pPr>
    <w:rPr>
      <w:i/>
    </w:rPr>
  </w:style>
  <w:style w:type="paragraph" w:styleId="Heading8">
    <w:name w:val="heading 8"/>
    <w:basedOn w:val="Normal"/>
    <w:next w:val="Normal"/>
    <w:link w:val="Heading8Char"/>
    <w:qFormat/>
    <w:rsid w:val="003350A6"/>
    <w:pPr>
      <w:ind w:left="720"/>
      <w:outlineLvl w:val="7"/>
    </w:pPr>
    <w:rPr>
      <w:i/>
    </w:rPr>
  </w:style>
  <w:style w:type="paragraph" w:styleId="Heading9">
    <w:name w:val="heading 9"/>
    <w:basedOn w:val="Normal"/>
    <w:next w:val="Normal"/>
    <w:link w:val="Heading9Char"/>
    <w:qFormat/>
    <w:rsid w:val="003350A6"/>
    <w:pPr>
      <w:ind w:left="720"/>
      <w:outlineLvl w:val="8"/>
    </w:pPr>
    <w:rPr>
      <w:i/>
    </w:rPr>
  </w:style>
  <w:style w:type="character" w:default="1" w:styleId="DefaultParagraphFont">
    <w:name w:val="Default Paragraph Font"/>
    <w:uiPriority w:val="1"/>
    <w:unhideWhenUsed/>
    <w:rsid w:val="00335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0A6"/>
  </w:style>
  <w:style w:type="character" w:customStyle="1" w:styleId="Heading1Char">
    <w:name w:val="Heading 1 Char"/>
    <w:basedOn w:val="DefaultParagraphFont"/>
    <w:link w:val="Heading1"/>
    <w:rsid w:val="003350A6"/>
    <w:rPr>
      <w:rFonts w:ascii="Times New Roman" w:eastAsia="Times New Roman" w:hAnsi="Times New Roman" w:cs="Times New Roman"/>
      <w:b/>
      <w:sz w:val="32"/>
      <w:szCs w:val="20"/>
      <w:lang w:eastAsia="en-US"/>
    </w:rPr>
  </w:style>
  <w:style w:type="paragraph" w:styleId="BodyText">
    <w:name w:val="Body Text"/>
    <w:basedOn w:val="Normal"/>
    <w:link w:val="BodyTextChar"/>
    <w:rsid w:val="00335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0A6"/>
    <w:rPr>
      <w:rFonts w:ascii="Times New Roman" w:eastAsia="Times New Roman" w:hAnsi="Times New Roman" w:cs="Times New Roman"/>
      <w:sz w:val="24"/>
      <w:lang w:eastAsia="en-US"/>
    </w:rPr>
  </w:style>
  <w:style w:type="paragraph" w:styleId="ListBullet">
    <w:name w:val="List Bullet"/>
    <w:basedOn w:val="List"/>
    <w:rsid w:val="003350A6"/>
    <w:pPr>
      <w:numPr>
        <w:numId w:val="13"/>
      </w:numPr>
      <w:tabs>
        <w:tab w:val="clear" w:pos="340"/>
      </w:tabs>
      <w:spacing w:before="40" w:after="40"/>
    </w:pPr>
  </w:style>
  <w:style w:type="character" w:customStyle="1" w:styleId="SpecialBold">
    <w:name w:val="Special Bold"/>
    <w:basedOn w:val="DefaultParagraphFont"/>
    <w:rsid w:val="003350A6"/>
    <w:rPr>
      <w:b/>
      <w:spacing w:val="0"/>
    </w:rPr>
  </w:style>
  <w:style w:type="paragraph" w:styleId="ListBullet2">
    <w:name w:val="List Bullet 2"/>
    <w:basedOn w:val="List2"/>
    <w:rsid w:val="003350A6"/>
    <w:pPr>
      <w:numPr>
        <w:numId w:val="14"/>
      </w:numPr>
      <w:tabs>
        <w:tab w:val="clear" w:pos="680"/>
      </w:tabs>
    </w:pPr>
  </w:style>
  <w:style w:type="paragraph" w:customStyle="1" w:styleId="SuperHeading">
    <w:name w:val="SuperHeading"/>
    <w:basedOn w:val="Normal"/>
    <w:rsid w:val="003350A6"/>
    <w:pPr>
      <w:spacing w:before="240" w:after="120"/>
      <w:outlineLvl w:val="0"/>
    </w:pPr>
    <w:rPr>
      <w:rFonts w:ascii="Times New Roman" w:hAnsi="Times New Roman"/>
      <w:b/>
      <w:sz w:val="32"/>
    </w:rPr>
  </w:style>
  <w:style w:type="paragraph" w:customStyle="1" w:styleId="AllowPageBreak">
    <w:name w:val="AllowPageBreak"/>
    <w:rsid w:val="00335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0A6"/>
    <w:rPr>
      <w:rFonts w:ascii="Courier New" w:eastAsia="Times New Roman" w:hAnsi="Courier New" w:cs="Times New Roman"/>
      <w:i/>
      <w:szCs w:val="20"/>
      <w:lang w:eastAsia="en-US"/>
    </w:rPr>
  </w:style>
  <w:style w:type="paragraph" w:customStyle="1" w:styleId="HeadingBase">
    <w:name w:val="Heading Base"/>
    <w:rsid w:val="00335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0A6"/>
    <w:pPr>
      <w:tabs>
        <w:tab w:val="right" w:leader="dot" w:pos="9072"/>
      </w:tabs>
      <w:ind w:left="567"/>
    </w:pPr>
    <w:rPr>
      <w:szCs w:val="22"/>
    </w:rPr>
  </w:style>
  <w:style w:type="paragraph" w:customStyle="1" w:styleId="TOCBase">
    <w:name w:val="TOC Base"/>
    <w:rsid w:val="00335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0A6"/>
    <w:pPr>
      <w:tabs>
        <w:tab w:val="right" w:leader="dot" w:pos="9072"/>
      </w:tabs>
      <w:spacing w:before="40" w:after="40"/>
      <w:ind w:left="284"/>
    </w:pPr>
    <w:rPr>
      <w:rFonts w:ascii="Times New Roman" w:hAnsi="Times New Roman"/>
    </w:rPr>
  </w:style>
  <w:style w:type="paragraph" w:styleId="TOC1">
    <w:name w:val="toc 1"/>
    <w:basedOn w:val="TOCBase"/>
    <w:next w:val="Normal"/>
    <w:rsid w:val="00335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0A6"/>
    <w:rPr>
      <w:rFonts w:ascii="Times New Roman" w:eastAsia="Times New Roman" w:hAnsi="Times New Roman" w:cs="Times New Roman"/>
      <w:sz w:val="16"/>
      <w:lang w:eastAsia="en-US"/>
    </w:rPr>
  </w:style>
  <w:style w:type="paragraph" w:styleId="Title">
    <w:name w:val="Title"/>
    <w:basedOn w:val="HeadingBase"/>
    <w:link w:val="TitleChar"/>
    <w:qFormat/>
    <w:rsid w:val="003350A6"/>
    <w:pPr>
      <w:spacing w:before="5040"/>
      <w:jc w:val="center"/>
    </w:pPr>
    <w:rPr>
      <w:sz w:val="48"/>
      <w:szCs w:val="72"/>
      <w:lang w:val="en-US"/>
    </w:rPr>
  </w:style>
  <w:style w:type="character" w:customStyle="1" w:styleId="TitleChar">
    <w:name w:val="Title Char"/>
    <w:basedOn w:val="DefaultParagraphFont"/>
    <w:link w:val="Title"/>
    <w:rsid w:val="00335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0A6"/>
    <w:pPr>
      <w:tabs>
        <w:tab w:val="left" w:pos="3600"/>
        <w:tab w:val="left" w:pos="3958"/>
      </w:tabs>
    </w:pPr>
  </w:style>
  <w:style w:type="paragraph" w:styleId="List">
    <w:name w:val="List"/>
    <w:basedOn w:val="BodyText"/>
    <w:next w:val="BodyText"/>
    <w:rsid w:val="003350A6"/>
    <w:pPr>
      <w:tabs>
        <w:tab w:val="left" w:pos="340"/>
      </w:tabs>
      <w:spacing w:before="60" w:after="60"/>
      <w:ind w:left="340" w:hanging="340"/>
    </w:pPr>
  </w:style>
  <w:style w:type="paragraph" w:customStyle="1" w:styleId="Note">
    <w:name w:val="Note"/>
    <w:basedOn w:val="BodyText"/>
    <w:rsid w:val="00335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0A6"/>
    <w:pPr>
      <w:framePr w:wrap="auto" w:hAnchor="text" w:y="6049"/>
    </w:pPr>
    <w:rPr>
      <w:color w:val="000000"/>
      <w:sz w:val="40"/>
    </w:rPr>
  </w:style>
  <w:style w:type="paragraph" w:customStyle="1" w:styleId="TOCTitle">
    <w:name w:val="TOCTitle"/>
    <w:basedOn w:val="Heading1"/>
    <w:rsid w:val="003350A6"/>
    <w:pPr>
      <w:spacing w:after="240"/>
      <w:jc w:val="center"/>
      <w:outlineLvl w:val="9"/>
    </w:pPr>
    <w:rPr>
      <w:caps/>
    </w:rPr>
  </w:style>
  <w:style w:type="paragraph" w:customStyle="1" w:styleId="Version">
    <w:name w:val="Version"/>
    <w:rsid w:val="00335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0A6"/>
    <w:pPr>
      <w:keepNext w:val="0"/>
      <w:tabs>
        <w:tab w:val="right" w:pos="4176"/>
      </w:tabs>
      <w:ind w:left="198" w:hanging="198"/>
    </w:pPr>
    <w:rPr>
      <w:rFonts w:ascii="Garamond" w:hAnsi="Garamond"/>
    </w:rPr>
  </w:style>
  <w:style w:type="paragraph" w:styleId="IndexHeading">
    <w:name w:val="index heading"/>
    <w:basedOn w:val="Normal"/>
    <w:next w:val="Index1"/>
    <w:semiHidden/>
    <w:rsid w:val="003350A6"/>
    <w:pPr>
      <w:spacing w:before="120" w:after="120"/>
    </w:pPr>
    <w:rPr>
      <w:rFonts w:ascii="Arial" w:hAnsi="Arial"/>
      <w:b/>
      <w:color w:val="918585"/>
      <w:sz w:val="24"/>
    </w:rPr>
  </w:style>
  <w:style w:type="paragraph" w:styleId="Header">
    <w:name w:val="header"/>
    <w:basedOn w:val="Normal"/>
    <w:link w:val="HeaderChar"/>
    <w:rsid w:val="00335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0A6"/>
    <w:rPr>
      <w:rFonts w:ascii="Times New Roman" w:eastAsia="Times New Roman" w:hAnsi="Times New Roman" w:cs="Times New Roman"/>
      <w:sz w:val="16"/>
      <w:szCs w:val="20"/>
      <w:lang w:val="en-GB" w:eastAsia="en-US"/>
    </w:rPr>
  </w:style>
  <w:style w:type="paragraph" w:customStyle="1" w:styleId="Chapter">
    <w:name w:val="Chapter"/>
    <w:basedOn w:val="Normal"/>
    <w:rsid w:val="003350A6"/>
    <w:pPr>
      <w:spacing w:before="240"/>
    </w:pPr>
    <w:rPr>
      <w:rFonts w:ascii="Times New Roman" w:hAnsi="Times New Roman"/>
      <w:smallCaps/>
      <w:spacing w:val="80"/>
      <w:sz w:val="28"/>
    </w:rPr>
  </w:style>
  <w:style w:type="paragraph" w:customStyle="1" w:styleId="InChapter">
    <w:name w:val="InChapter"/>
    <w:basedOn w:val="Heading3"/>
    <w:rsid w:val="003350A6"/>
    <w:pPr>
      <w:spacing w:after="240"/>
      <w:outlineLvl w:val="9"/>
    </w:pPr>
    <w:rPr>
      <w:noProof/>
    </w:rPr>
  </w:style>
  <w:style w:type="paragraph" w:styleId="Index2">
    <w:name w:val="index 2"/>
    <w:basedOn w:val="Normal"/>
    <w:next w:val="Normal"/>
    <w:semiHidden/>
    <w:rsid w:val="003350A6"/>
    <w:pPr>
      <w:tabs>
        <w:tab w:val="right" w:pos="4176"/>
      </w:tabs>
      <w:ind w:left="568" w:hanging="284"/>
    </w:pPr>
    <w:rPr>
      <w:rFonts w:ascii="Garamond" w:hAnsi="Garamond"/>
    </w:rPr>
  </w:style>
  <w:style w:type="paragraph" w:customStyle="1" w:styleId="Byline">
    <w:name w:val="Byline"/>
    <w:rsid w:val="00335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0A6"/>
    <w:pPr>
      <w:tabs>
        <w:tab w:val="clear" w:pos="3600"/>
        <w:tab w:val="clear" w:pos="3958"/>
      </w:tabs>
      <w:jc w:val="right"/>
    </w:pPr>
  </w:style>
  <w:style w:type="character" w:styleId="Emphasis">
    <w:name w:val="Emphasis"/>
    <w:basedOn w:val="DefaultParagraphFont"/>
    <w:qFormat/>
    <w:rsid w:val="003350A6"/>
    <w:rPr>
      <w:i/>
    </w:rPr>
  </w:style>
  <w:style w:type="paragraph" w:styleId="Caption">
    <w:name w:val="caption"/>
    <w:basedOn w:val="BodyText"/>
    <w:next w:val="Normal"/>
    <w:qFormat/>
    <w:rsid w:val="003350A6"/>
    <w:pPr>
      <w:framePr w:w="2268" w:hSpace="181" w:vSpace="181" w:wrap="around" w:vAnchor="text" w:hAnchor="page" w:x="1135" w:y="285" w:anchorLock="1"/>
    </w:pPr>
    <w:rPr>
      <w:i/>
    </w:rPr>
  </w:style>
  <w:style w:type="paragraph" w:customStyle="1" w:styleId="MiniTOCTitle">
    <w:name w:val="MiniTOCTitle"/>
    <w:basedOn w:val="Heading4"/>
    <w:rsid w:val="003350A6"/>
    <w:pPr>
      <w:spacing w:before="240"/>
      <w:outlineLvl w:val="9"/>
    </w:pPr>
    <w:rPr>
      <w:noProof/>
      <w:sz w:val="24"/>
    </w:rPr>
  </w:style>
  <w:style w:type="paragraph" w:customStyle="1" w:styleId="MiniTOCItem">
    <w:name w:val="MiniTOCItem"/>
    <w:basedOn w:val="ListBullet"/>
    <w:rsid w:val="003350A6"/>
    <w:pPr>
      <w:numPr>
        <w:numId w:val="0"/>
      </w:numPr>
      <w:tabs>
        <w:tab w:val="right" w:leader="dot" w:pos="6521"/>
      </w:tabs>
      <w:spacing w:before="0" w:after="0"/>
    </w:pPr>
  </w:style>
  <w:style w:type="paragraph" w:customStyle="1" w:styleId="TOFTitle">
    <w:name w:val="TOFTitle"/>
    <w:basedOn w:val="TOCTitle"/>
    <w:rsid w:val="003350A6"/>
  </w:style>
  <w:style w:type="paragraph" w:styleId="TableofFigures">
    <w:name w:val="table of figures"/>
    <w:basedOn w:val="Normal"/>
    <w:next w:val="Normal"/>
    <w:semiHidden/>
    <w:rsid w:val="003350A6"/>
    <w:pPr>
      <w:tabs>
        <w:tab w:val="right" w:leader="dot" w:pos="9072"/>
      </w:tabs>
      <w:ind w:left="970" w:hanging="403"/>
    </w:pPr>
    <w:rPr>
      <w:rFonts w:ascii="Times New Roman" w:hAnsi="Times New Roman"/>
      <w:b/>
    </w:rPr>
  </w:style>
  <w:style w:type="paragraph" w:styleId="ListNumber">
    <w:name w:val="List Number"/>
    <w:basedOn w:val="List"/>
    <w:rsid w:val="003350A6"/>
    <w:pPr>
      <w:numPr>
        <w:numId w:val="11"/>
      </w:numPr>
    </w:pPr>
  </w:style>
  <w:style w:type="character" w:customStyle="1" w:styleId="WingdingSymbols">
    <w:name w:val="Wingding Symbols"/>
    <w:rsid w:val="003350A6"/>
    <w:rPr>
      <w:rFonts w:ascii="Wingdings" w:hAnsi="Wingdings"/>
    </w:rPr>
  </w:style>
  <w:style w:type="paragraph" w:customStyle="1" w:styleId="TableHeading">
    <w:name w:val="Table Heading"/>
    <w:basedOn w:val="HeadingBase"/>
    <w:rsid w:val="003350A6"/>
    <w:pPr>
      <w:keepLines/>
      <w:pBdr>
        <w:bottom w:val="single" w:sz="6" w:space="1" w:color="918585"/>
      </w:pBdr>
      <w:spacing w:before="240"/>
    </w:pPr>
  </w:style>
  <w:style w:type="character" w:customStyle="1" w:styleId="HotSpot">
    <w:name w:val="HotSpot"/>
    <w:rsid w:val="003350A6"/>
    <w:rPr>
      <w:color w:val="0033CC"/>
      <w:u w:val="none"/>
    </w:rPr>
  </w:style>
  <w:style w:type="paragraph" w:customStyle="1" w:styleId="BodyTextRight">
    <w:name w:val="Body Text Right"/>
    <w:basedOn w:val="BodyText"/>
    <w:rsid w:val="003350A6"/>
    <w:pPr>
      <w:spacing w:before="0" w:after="0"/>
      <w:jc w:val="right"/>
    </w:pPr>
  </w:style>
  <w:style w:type="paragraph" w:styleId="Index3">
    <w:name w:val="index 3"/>
    <w:basedOn w:val="ListNumber2"/>
    <w:next w:val="Normal"/>
    <w:semiHidden/>
    <w:rsid w:val="003350A6"/>
    <w:pPr>
      <w:numPr>
        <w:numId w:val="0"/>
      </w:numPr>
      <w:tabs>
        <w:tab w:val="right" w:leader="dot" w:pos="4176"/>
      </w:tabs>
    </w:pPr>
  </w:style>
  <w:style w:type="paragraph" w:styleId="ListNumber2">
    <w:name w:val="List Number 2"/>
    <w:basedOn w:val="List2"/>
    <w:rsid w:val="003350A6"/>
    <w:pPr>
      <w:numPr>
        <w:numId w:val="10"/>
      </w:numPr>
      <w:tabs>
        <w:tab w:val="clear" w:pos="1060"/>
      </w:tabs>
    </w:pPr>
  </w:style>
  <w:style w:type="paragraph" w:customStyle="1" w:styleId="MarginNote">
    <w:name w:val="Margin Note"/>
    <w:basedOn w:val="BodyText"/>
    <w:rsid w:val="00335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0A6"/>
    <w:rPr>
      <w:sz w:val="32"/>
    </w:rPr>
  </w:style>
  <w:style w:type="paragraph" w:customStyle="1" w:styleId="HeadingProcedure">
    <w:name w:val="Heading Procedure"/>
    <w:basedOn w:val="HeadingBase"/>
    <w:next w:val="Normal"/>
    <w:rsid w:val="003350A6"/>
    <w:pPr>
      <w:tabs>
        <w:tab w:val="left" w:pos="0"/>
      </w:tabs>
      <w:spacing w:before="120" w:after="60"/>
    </w:pPr>
    <w:rPr>
      <w:i/>
      <w:color w:val="918585"/>
      <w:sz w:val="22"/>
    </w:rPr>
  </w:style>
  <w:style w:type="paragraph" w:customStyle="1" w:styleId="TableBodyText">
    <w:name w:val="Table Body Text"/>
    <w:basedOn w:val="BodyText"/>
    <w:rsid w:val="003350A6"/>
    <w:pPr>
      <w:spacing w:before="60" w:after="60"/>
    </w:pPr>
  </w:style>
  <w:style w:type="paragraph" w:styleId="ListContinue">
    <w:name w:val="List Continue"/>
    <w:basedOn w:val="List"/>
    <w:rsid w:val="003350A6"/>
    <w:pPr>
      <w:ind w:firstLine="0"/>
    </w:pPr>
  </w:style>
  <w:style w:type="paragraph" w:customStyle="1" w:styleId="ListNote">
    <w:name w:val="List Note"/>
    <w:basedOn w:val="List"/>
    <w:rsid w:val="003350A6"/>
    <w:pPr>
      <w:pBdr>
        <w:top w:val="single" w:sz="6" w:space="2" w:color="918585"/>
        <w:bottom w:val="single" w:sz="6" w:space="2" w:color="918585"/>
      </w:pBdr>
      <w:tabs>
        <w:tab w:val="left" w:pos="1021"/>
      </w:tabs>
      <w:ind w:firstLine="0"/>
    </w:pPr>
  </w:style>
  <w:style w:type="paragraph" w:customStyle="1" w:styleId="Warning">
    <w:name w:val="Warning"/>
    <w:basedOn w:val="BodyText"/>
    <w:rsid w:val="003350A6"/>
    <w:pPr>
      <w:shd w:val="clear" w:color="auto" w:fill="D9D9D9"/>
      <w:tabs>
        <w:tab w:val="left" w:pos="992"/>
      </w:tabs>
      <w:ind w:left="119" w:right="119"/>
    </w:pPr>
    <w:rPr>
      <w:sz w:val="20"/>
    </w:rPr>
  </w:style>
  <w:style w:type="paragraph" w:customStyle="1" w:styleId="MarginIcons">
    <w:name w:val="Margin Icons"/>
    <w:basedOn w:val="BodyText"/>
    <w:rsid w:val="00335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0A6"/>
    <w:rPr>
      <w:rFonts w:ascii="Courier New" w:hAnsi="Courier New"/>
    </w:rPr>
  </w:style>
  <w:style w:type="paragraph" w:customStyle="1" w:styleId="NoteBullet">
    <w:name w:val="Note Bullet"/>
    <w:basedOn w:val="Note"/>
    <w:rsid w:val="003350A6"/>
    <w:pPr>
      <w:tabs>
        <w:tab w:val="clear" w:pos="680"/>
      </w:tabs>
      <w:spacing w:before="60" w:after="60"/>
    </w:pPr>
  </w:style>
  <w:style w:type="paragraph" w:customStyle="1" w:styleId="SubHeading2">
    <w:name w:val="SubHeading2"/>
    <w:basedOn w:val="HeadingBase"/>
    <w:rsid w:val="003350A6"/>
    <w:pPr>
      <w:spacing w:before="240" w:after="60"/>
    </w:pPr>
    <w:rPr>
      <w:sz w:val="20"/>
    </w:rPr>
  </w:style>
  <w:style w:type="paragraph" w:customStyle="1" w:styleId="SubHeading1">
    <w:name w:val="SubHeading1"/>
    <w:basedOn w:val="HeadingBase"/>
    <w:rsid w:val="003350A6"/>
    <w:pPr>
      <w:spacing w:before="240" w:after="60"/>
    </w:pPr>
    <w:rPr>
      <w:color w:val="918585"/>
      <w:sz w:val="22"/>
    </w:rPr>
  </w:style>
  <w:style w:type="paragraph" w:customStyle="1" w:styleId="SideHeading">
    <w:name w:val="Side Heading"/>
    <w:basedOn w:val="HeadingBase"/>
    <w:rsid w:val="00335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0A6"/>
    <w:pPr>
      <w:numPr>
        <w:numId w:val="12"/>
      </w:numPr>
    </w:pPr>
  </w:style>
  <w:style w:type="paragraph" w:styleId="PlainText">
    <w:name w:val="Plain Text"/>
    <w:basedOn w:val="Normal"/>
    <w:link w:val="PlainTextChar"/>
    <w:rsid w:val="003350A6"/>
    <w:rPr>
      <w:sz w:val="20"/>
    </w:rPr>
  </w:style>
  <w:style w:type="character" w:customStyle="1" w:styleId="PlainTextChar">
    <w:name w:val="Plain Text Char"/>
    <w:basedOn w:val="DefaultParagraphFont"/>
    <w:link w:val="PlainText"/>
    <w:rsid w:val="003350A6"/>
    <w:rPr>
      <w:rFonts w:ascii="Courier New" w:eastAsia="Times New Roman" w:hAnsi="Courier New" w:cs="Times New Roman"/>
      <w:sz w:val="20"/>
      <w:szCs w:val="20"/>
      <w:lang w:eastAsia="en-US"/>
    </w:rPr>
  </w:style>
  <w:style w:type="character" w:customStyle="1" w:styleId="MenuOption">
    <w:name w:val="Menu Option"/>
    <w:basedOn w:val="DefaultParagraphFont"/>
    <w:rsid w:val="003350A6"/>
    <w:rPr>
      <w:b/>
      <w:smallCaps/>
    </w:rPr>
  </w:style>
  <w:style w:type="paragraph" w:customStyle="1" w:styleId="TableListNumber">
    <w:name w:val="Table List Number"/>
    <w:basedOn w:val="ListNumber"/>
    <w:rsid w:val="003350A6"/>
    <w:pPr>
      <w:numPr>
        <w:numId w:val="0"/>
      </w:numPr>
    </w:pPr>
  </w:style>
  <w:style w:type="paragraph" w:styleId="TOC4">
    <w:name w:val="toc 4"/>
    <w:basedOn w:val="TOCBase"/>
    <w:next w:val="Normal"/>
    <w:semiHidden/>
    <w:rsid w:val="003350A6"/>
    <w:pPr>
      <w:tabs>
        <w:tab w:val="right" w:leader="dot" w:pos="9071"/>
      </w:tabs>
      <w:ind w:left="1701"/>
    </w:pPr>
  </w:style>
  <w:style w:type="paragraph" w:customStyle="1" w:styleId="ListAlpha">
    <w:name w:val="List Alpha"/>
    <w:basedOn w:val="List"/>
    <w:rsid w:val="003350A6"/>
    <w:pPr>
      <w:numPr>
        <w:numId w:val="9"/>
      </w:numPr>
    </w:pPr>
  </w:style>
  <w:style w:type="paragraph" w:customStyle="1" w:styleId="ListAlpha2">
    <w:name w:val="List Alpha 2"/>
    <w:basedOn w:val="List2"/>
    <w:rsid w:val="003350A6"/>
    <w:pPr>
      <w:numPr>
        <w:numId w:val="8"/>
      </w:numPr>
    </w:pPr>
  </w:style>
  <w:style w:type="paragraph" w:styleId="List2">
    <w:name w:val="List 2"/>
    <w:basedOn w:val="BodyText"/>
    <w:rsid w:val="003350A6"/>
    <w:pPr>
      <w:tabs>
        <w:tab w:val="left" w:pos="680"/>
      </w:tabs>
      <w:spacing w:before="60" w:after="60"/>
      <w:ind w:left="680" w:hanging="340"/>
    </w:pPr>
  </w:style>
  <w:style w:type="paragraph" w:styleId="List3">
    <w:name w:val="List 3"/>
    <w:basedOn w:val="BodyText"/>
    <w:rsid w:val="003350A6"/>
    <w:pPr>
      <w:tabs>
        <w:tab w:val="left" w:pos="1021"/>
      </w:tabs>
      <w:spacing w:before="60" w:after="60"/>
      <w:ind w:left="1020" w:hanging="340"/>
    </w:pPr>
  </w:style>
  <w:style w:type="paragraph" w:styleId="List4">
    <w:name w:val="List 4"/>
    <w:basedOn w:val="BodyText"/>
    <w:rsid w:val="003350A6"/>
    <w:pPr>
      <w:tabs>
        <w:tab w:val="left" w:pos="1361"/>
      </w:tabs>
      <w:spacing w:before="60" w:after="60"/>
      <w:ind w:left="1361" w:hanging="340"/>
    </w:pPr>
  </w:style>
  <w:style w:type="paragraph" w:styleId="List5">
    <w:name w:val="List 5"/>
    <w:basedOn w:val="BodyText"/>
    <w:rsid w:val="003350A6"/>
    <w:pPr>
      <w:tabs>
        <w:tab w:val="left" w:pos="1701"/>
      </w:tabs>
      <w:spacing w:before="60" w:after="60"/>
      <w:ind w:left="1701" w:hanging="340"/>
    </w:pPr>
  </w:style>
  <w:style w:type="paragraph" w:styleId="ListBullet3">
    <w:name w:val="List Bullet 3"/>
    <w:basedOn w:val="List3"/>
    <w:rsid w:val="003350A6"/>
    <w:pPr>
      <w:numPr>
        <w:numId w:val="15"/>
      </w:numPr>
      <w:tabs>
        <w:tab w:val="clear" w:pos="1021"/>
      </w:tabs>
      <w:ind w:left="1037" w:hanging="357"/>
    </w:pPr>
  </w:style>
  <w:style w:type="paragraph" w:styleId="ListBullet4">
    <w:name w:val="List Bullet 4"/>
    <w:basedOn w:val="List4"/>
    <w:rsid w:val="003350A6"/>
    <w:pPr>
      <w:numPr>
        <w:numId w:val="3"/>
      </w:numPr>
      <w:tabs>
        <w:tab w:val="clear" w:pos="1361"/>
      </w:tabs>
    </w:pPr>
  </w:style>
  <w:style w:type="paragraph" w:styleId="ListBullet5">
    <w:name w:val="List Bullet 5"/>
    <w:basedOn w:val="List5"/>
    <w:rsid w:val="003350A6"/>
    <w:pPr>
      <w:numPr>
        <w:numId w:val="4"/>
      </w:numPr>
    </w:pPr>
  </w:style>
  <w:style w:type="paragraph" w:styleId="ListContinue2">
    <w:name w:val="List Continue 2"/>
    <w:basedOn w:val="List2"/>
    <w:rsid w:val="003350A6"/>
    <w:pPr>
      <w:ind w:firstLine="0"/>
    </w:pPr>
  </w:style>
  <w:style w:type="paragraph" w:styleId="ListContinue3">
    <w:name w:val="List Continue 3"/>
    <w:basedOn w:val="List3"/>
    <w:rsid w:val="003350A6"/>
    <w:pPr>
      <w:ind w:left="1021" w:firstLine="0"/>
    </w:pPr>
  </w:style>
  <w:style w:type="paragraph" w:styleId="ListContinue4">
    <w:name w:val="List Continue 4"/>
    <w:basedOn w:val="List4"/>
    <w:rsid w:val="003350A6"/>
    <w:pPr>
      <w:ind w:firstLine="0"/>
    </w:pPr>
  </w:style>
  <w:style w:type="paragraph" w:styleId="ListContinue5">
    <w:name w:val="List Continue 5"/>
    <w:basedOn w:val="List5"/>
    <w:rsid w:val="003350A6"/>
    <w:pPr>
      <w:ind w:firstLine="0"/>
    </w:pPr>
  </w:style>
  <w:style w:type="paragraph" w:styleId="ListNumber3">
    <w:name w:val="List Number 3"/>
    <w:basedOn w:val="List3"/>
    <w:rsid w:val="003350A6"/>
    <w:pPr>
      <w:numPr>
        <w:numId w:val="5"/>
      </w:numPr>
    </w:pPr>
  </w:style>
  <w:style w:type="paragraph" w:styleId="ListNumber4">
    <w:name w:val="List Number 4"/>
    <w:basedOn w:val="List4"/>
    <w:rsid w:val="003350A6"/>
    <w:pPr>
      <w:numPr>
        <w:numId w:val="6"/>
      </w:numPr>
    </w:pPr>
  </w:style>
  <w:style w:type="paragraph" w:styleId="ListNumber5">
    <w:name w:val="List Number 5"/>
    <w:basedOn w:val="List5"/>
    <w:rsid w:val="003350A6"/>
    <w:pPr>
      <w:numPr>
        <w:numId w:val="7"/>
      </w:numPr>
    </w:pPr>
  </w:style>
  <w:style w:type="paragraph" w:styleId="BlockText">
    <w:name w:val="Block Text"/>
    <w:basedOn w:val="Normal"/>
    <w:rsid w:val="003350A6"/>
    <w:pPr>
      <w:spacing w:after="120"/>
      <w:ind w:left="1440" w:right="1440"/>
    </w:pPr>
  </w:style>
  <w:style w:type="character" w:customStyle="1" w:styleId="Subscript">
    <w:name w:val="Subscript"/>
    <w:basedOn w:val="DefaultParagraphFont"/>
    <w:rsid w:val="003350A6"/>
    <w:rPr>
      <w:sz w:val="16"/>
      <w:vertAlign w:val="subscript"/>
    </w:rPr>
  </w:style>
  <w:style w:type="character" w:customStyle="1" w:styleId="Superscript">
    <w:name w:val="Superscript"/>
    <w:basedOn w:val="DefaultParagraphFont"/>
    <w:rsid w:val="003350A6"/>
    <w:rPr>
      <w:sz w:val="16"/>
      <w:vertAlign w:val="superscript"/>
    </w:rPr>
  </w:style>
  <w:style w:type="character" w:customStyle="1" w:styleId="Symbols">
    <w:name w:val="Symbols"/>
    <w:basedOn w:val="DefaultParagraphFont"/>
    <w:rsid w:val="003350A6"/>
    <w:rPr>
      <w:rFonts w:ascii="Symbol" w:hAnsi="Symbol"/>
    </w:rPr>
  </w:style>
  <w:style w:type="character" w:customStyle="1" w:styleId="MenuOptions">
    <w:name w:val="Menu Options"/>
    <w:basedOn w:val="DefaultParagraphFont"/>
    <w:rsid w:val="003350A6"/>
    <w:rPr>
      <w:rFonts w:ascii="Arial Narrow" w:hAnsi="Arial Narrow"/>
      <w:smallCaps/>
    </w:rPr>
  </w:style>
  <w:style w:type="character" w:customStyle="1" w:styleId="Buttons">
    <w:name w:val="Buttons"/>
    <w:basedOn w:val="DefaultParagraphFont"/>
    <w:rsid w:val="003350A6"/>
    <w:rPr>
      <w:b/>
    </w:rPr>
  </w:style>
  <w:style w:type="character" w:customStyle="1" w:styleId="Underlined">
    <w:name w:val="Underlined"/>
    <w:basedOn w:val="DefaultParagraphFont"/>
    <w:rsid w:val="003350A6"/>
    <w:rPr>
      <w:u w:val="single"/>
    </w:rPr>
  </w:style>
  <w:style w:type="paragraph" w:customStyle="1" w:styleId="TableBodyTextRight">
    <w:name w:val="Table Body Text Right"/>
    <w:basedOn w:val="TableBodyText"/>
    <w:rsid w:val="003350A6"/>
    <w:pPr>
      <w:widowControl w:val="0"/>
      <w:autoSpaceDE w:val="0"/>
      <w:autoSpaceDN w:val="0"/>
      <w:adjustRightInd w:val="0"/>
      <w:jc w:val="right"/>
    </w:pPr>
    <w:rPr>
      <w:rFonts w:cs="Arial"/>
      <w:szCs w:val="18"/>
    </w:rPr>
  </w:style>
  <w:style w:type="paragraph" w:customStyle="1" w:styleId="CopyrightText">
    <w:name w:val="Copyright Text"/>
    <w:basedOn w:val="BodyText"/>
    <w:rsid w:val="003350A6"/>
    <w:rPr>
      <w:sz w:val="18"/>
    </w:rPr>
  </w:style>
  <w:style w:type="paragraph" w:customStyle="1" w:styleId="BodySmallRight">
    <w:name w:val="Body Small Right"/>
    <w:basedOn w:val="BodyTextRight"/>
    <w:rsid w:val="003350A6"/>
    <w:rPr>
      <w:sz w:val="18"/>
      <w:szCs w:val="18"/>
    </w:rPr>
  </w:style>
  <w:style w:type="paragraph" w:customStyle="1" w:styleId="MarginEdition">
    <w:name w:val="Margin Edition"/>
    <w:basedOn w:val="MarginNote"/>
    <w:rsid w:val="003350A6"/>
    <w:pPr>
      <w:spacing w:before="0" w:after="0"/>
    </w:pPr>
    <w:rPr>
      <w:rFonts w:ascii="Times New Roman" w:hAnsi="Times New Roman"/>
      <w:color w:val="999999"/>
    </w:rPr>
  </w:style>
  <w:style w:type="paragraph" w:customStyle="1" w:styleId="Spacer">
    <w:name w:val="Spacer"/>
    <w:basedOn w:val="Normal"/>
    <w:rsid w:val="003350A6"/>
    <w:rPr>
      <w:sz w:val="2"/>
      <w:szCs w:val="2"/>
    </w:rPr>
  </w:style>
  <w:style w:type="character" w:customStyle="1" w:styleId="Small">
    <w:name w:val="Small"/>
    <w:basedOn w:val="DefaultParagraphFont"/>
    <w:rsid w:val="003350A6"/>
    <w:rPr>
      <w:sz w:val="16"/>
    </w:rPr>
  </w:style>
  <w:style w:type="paragraph" w:customStyle="1" w:styleId="WideTable">
    <w:name w:val="Wide Table"/>
    <w:basedOn w:val="Normal"/>
    <w:rsid w:val="003350A6"/>
    <w:pPr>
      <w:ind w:left="-1418"/>
    </w:pPr>
    <w:rPr>
      <w:sz w:val="2"/>
      <w:szCs w:val="2"/>
    </w:rPr>
  </w:style>
  <w:style w:type="character" w:styleId="PageNumber">
    <w:name w:val="page number"/>
    <w:basedOn w:val="DefaultParagraphFont"/>
    <w:rsid w:val="003350A6"/>
  </w:style>
  <w:style w:type="paragraph" w:styleId="Quote">
    <w:name w:val="Quote"/>
    <w:basedOn w:val="Heading1"/>
    <w:link w:val="QuoteChar"/>
    <w:qFormat/>
    <w:rsid w:val="003350A6"/>
    <w:rPr>
      <w:b w:val="0"/>
      <w:sz w:val="72"/>
      <w:szCs w:val="72"/>
      <w:lang w:val="en-NZ"/>
    </w:rPr>
  </w:style>
  <w:style w:type="character" w:customStyle="1" w:styleId="QuoteChar">
    <w:name w:val="Quote Char"/>
    <w:basedOn w:val="DefaultParagraphFont"/>
    <w:link w:val="Quote"/>
    <w:rsid w:val="00335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0A6"/>
    <w:pPr>
      <w:pageBreakBefore/>
    </w:pPr>
  </w:style>
  <w:style w:type="paragraph" w:customStyle="1" w:styleId="Border">
    <w:name w:val="Border"/>
    <w:basedOn w:val="Normal"/>
    <w:qFormat/>
    <w:rsid w:val="00335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0A6"/>
    <w:rPr>
      <w:b/>
      <w:bCs/>
      <w:i/>
      <w:iCs/>
      <w:color w:val="auto"/>
    </w:rPr>
  </w:style>
  <w:style w:type="paragraph" w:styleId="IntenseQuote">
    <w:name w:val="Intense Quote"/>
    <w:basedOn w:val="Normal"/>
    <w:next w:val="Normal"/>
    <w:link w:val="IntenseQuoteChar"/>
    <w:uiPriority w:val="30"/>
    <w:qFormat/>
    <w:rsid w:val="00335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0A6"/>
    <w:rPr>
      <w:smallCaps/>
      <w:color w:val="auto"/>
      <w:u w:val="single"/>
    </w:rPr>
  </w:style>
  <w:style w:type="character" w:styleId="IntenseReference">
    <w:name w:val="Intense Reference"/>
    <w:basedOn w:val="DefaultParagraphFont"/>
    <w:uiPriority w:val="32"/>
    <w:qFormat/>
    <w:rsid w:val="003350A6"/>
    <w:rPr>
      <w:b/>
      <w:bCs/>
      <w:smallCaps/>
      <w:color w:val="auto"/>
      <w:spacing w:val="5"/>
      <w:u w:val="single"/>
    </w:rPr>
  </w:style>
  <w:style w:type="paragraph" w:customStyle="1" w:styleId="2ColumnHeading">
    <w:name w:val="2Column Heading"/>
    <w:basedOn w:val="BodyText"/>
    <w:qFormat/>
    <w:rsid w:val="003350A6"/>
    <w:pPr>
      <w:spacing w:after="60"/>
      <w:ind w:left="-2268"/>
    </w:pPr>
    <w:rPr>
      <w:b/>
    </w:rPr>
  </w:style>
  <w:style w:type="paragraph" w:customStyle="1" w:styleId="Heading1TOC">
    <w:name w:val="Heading1 TOC"/>
    <w:basedOn w:val="Normal"/>
    <w:qFormat/>
    <w:rsid w:val="003350A6"/>
    <w:pPr>
      <w:spacing w:before="240" w:after="120"/>
    </w:pPr>
    <w:rPr>
      <w:rFonts w:ascii="Times New Roman" w:hAnsi="Times New Roman"/>
      <w:b/>
      <w:sz w:val="32"/>
    </w:rPr>
  </w:style>
  <w:style w:type="paragraph" w:customStyle="1" w:styleId="Heading2TOC">
    <w:name w:val="Heading2 TOC"/>
    <w:basedOn w:val="Normal"/>
    <w:qFormat/>
    <w:rsid w:val="003350A6"/>
    <w:pPr>
      <w:spacing w:before="240" w:after="60"/>
    </w:pPr>
    <w:rPr>
      <w:rFonts w:ascii="Times New Roman" w:hAnsi="Times New Roman"/>
      <w:b/>
      <w:sz w:val="28"/>
    </w:rPr>
  </w:style>
  <w:style w:type="character" w:customStyle="1" w:styleId="Underline">
    <w:name w:val="Underline"/>
    <w:basedOn w:val="DefaultParagraphFont"/>
    <w:qFormat/>
    <w:rsid w:val="003350A6"/>
    <w:rPr>
      <w:u w:val="single"/>
    </w:rPr>
  </w:style>
  <w:style w:type="character" w:customStyle="1" w:styleId="BoldandItalics">
    <w:name w:val="Bold and Italics"/>
    <w:qFormat/>
    <w:rsid w:val="003350A6"/>
    <w:rPr>
      <w:b/>
      <w:i/>
      <w:u w:val="none"/>
    </w:rPr>
  </w:style>
  <w:style w:type="paragraph" w:styleId="BalloonText">
    <w:name w:val="Balloon Text"/>
    <w:basedOn w:val="Normal"/>
    <w:link w:val="BalloonTextChar"/>
    <w:rsid w:val="003350A6"/>
    <w:rPr>
      <w:rFonts w:ascii="Tahoma" w:hAnsi="Tahoma" w:cs="Tahoma"/>
      <w:sz w:val="16"/>
      <w:szCs w:val="16"/>
    </w:rPr>
  </w:style>
  <w:style w:type="character" w:customStyle="1" w:styleId="BalloonTextChar">
    <w:name w:val="Balloon Text Char"/>
    <w:basedOn w:val="DefaultParagraphFont"/>
    <w:link w:val="BalloonText"/>
    <w:rsid w:val="00335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0A6"/>
    <w:rPr>
      <w:b/>
      <w:color w:val="660033"/>
      <w:spacing w:val="0"/>
    </w:rPr>
  </w:style>
  <w:style w:type="paragraph" w:customStyle="1" w:styleId="Nameditemlist">
    <w:name w:val="Named item list"/>
    <w:basedOn w:val="BodyText"/>
    <w:qFormat/>
    <w:rsid w:val="003350A6"/>
    <w:pPr>
      <w:tabs>
        <w:tab w:val="left" w:pos="2835"/>
      </w:tabs>
      <w:ind w:left="2835" w:hanging="2835"/>
    </w:pPr>
  </w:style>
  <w:style w:type="paragraph" w:customStyle="1" w:styleId="BodyTextnopadding">
    <w:name w:val="Body Text no padding"/>
    <w:basedOn w:val="BodyText"/>
    <w:qFormat/>
    <w:rsid w:val="003350A6"/>
    <w:pPr>
      <w:spacing w:before="0" w:after="0"/>
    </w:pPr>
  </w:style>
  <w:style w:type="character" w:styleId="Hyperlink">
    <w:name w:val="Hyperlink"/>
    <w:basedOn w:val="DefaultParagraphFont"/>
    <w:uiPriority w:val="99"/>
    <w:unhideWhenUsed/>
    <w:rsid w:val="00B47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4102</Characters>
  <Application>Microsoft Office Word</Application>
  <DocSecurity>0</DocSecurity>
  <Lines>170</Lines>
  <Paragraphs>112</Paragraphs>
  <ScaleCrop>false</ScaleCrop>
  <Company>Author-it Software Corporation Ltd.</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AVIF0005 Implement aviation fatigue risk management processes</dc:title>
  <dc:subject>Approved</dc:subject>
  <dc:creator>Australian Industry Standards</dc:creator>
  <cp:keywords>Release: 2</cp:keywords>
  <dc:description>Review Date: 12 April 2008</dc:description>
  <cp:lastModifiedBy>HSD_TPCMSd.prod</cp:lastModifiedBy>
  <cp:revision>3</cp:revision>
  <dcterms:created xsi:type="dcterms:W3CDTF">2019-01-31T04:27:00Z</dcterms:created>
  <dcterms:modified xsi:type="dcterms:W3CDTF">2019-01-31T04:27:00Z</dcterms:modified>
</cp:coreProperties>
</file>