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F1F" w:rsidP="00187F1F">
      <w:pPr>
        <w:pStyle w:val="Title"/>
      </w:pPr>
      <w:r>
        <w:fldChar w:fldCharType="begin"/>
      </w:r>
      <w:r>
        <w:instrText xml:space="preserve"> TITLE   \* MERGEFORMAT </w:instrText>
      </w:r>
      <w:r>
        <w:fldChar w:fldCharType="separate"/>
      </w:r>
      <w:r>
        <w:t>AURC463238A Manage complex customer issues</w:t>
      </w:r>
      <w:r>
        <w:fldChar w:fldCharType="end"/>
      </w:r>
    </w:p>
    <w:p w:rsidR="00187F1F" w:rsidP="00187F1F">
      <w:pPr>
        <w:pStyle w:val="Version"/>
        <w:sectPr w:rsidSect="003E1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B32" w:rsidP="003E1B32">
      <w:pPr>
        <w:pStyle w:val="SuperHeading"/>
      </w:pPr>
      <w:r w:rsidRPr="003E1B32">
        <w:t>AURC463238A Manage complex customer issues</w:t>
      </w:r>
    </w:p>
    <w:p w:rsidR="00000000" w:rsidRPr="003E1B32" w:rsidP="003E1B32">
      <w:pPr>
        <w:pStyle w:val="Heading1"/>
      </w:pPr>
      <w:bookmarkStart w:id="1" w:name="O_313104"/>
      <w:bookmarkEnd w:id="1"/>
      <w:r w:rsidRPr="003E1B32">
        <w:t>Modification History</w:t>
      </w:r>
    </w:p>
    <w:p w:rsidR="00000000" w:rsidRPr="003E1B32" w:rsidP="003E1B32">
      <w:pPr>
        <w:pStyle w:val="Heading1"/>
      </w:pPr>
      <w:bookmarkStart w:id="2" w:name="O_313105"/>
      <w:bookmarkEnd w:id="2"/>
      <w:r w:rsidRPr="003E1B32">
        <w:t>Unit Descriptor</w:t>
      </w:r>
    </w:p>
    <w:p w:rsidR="00000000" w:rsidRPr="003E1B32" w:rsidP="003E1B32">
      <w:pPr>
        <w:pStyle w:val="BodyText"/>
      </w:pPr>
      <w:r w:rsidRPr="003E1B32">
        <w:t>This unit covers the competence required to examine the cause of a complaint and act within limits of authority to resolve the complaint and</w:t>
      </w:r>
      <w:r w:rsidRPr="003E1B32">
        <w:t xml:space="preserve"> document the issue and outcome.</w:t>
      </w:r>
    </w:p>
    <w:p w:rsidR="00000000" w:rsidRPr="003E1B32" w:rsidP="003E1B32">
      <w:pPr>
        <w:pStyle w:val="BodyText"/>
      </w:pPr>
      <w:r w:rsidRPr="003E1B32">
        <w:t>This unit covers the competence required to examine the cause of a complaint and act within limits of authority to resolve the complaint and document the issue and outcome.</w:t>
      </w:r>
    </w:p>
    <w:p w:rsidR="00000000" w:rsidRPr="003E1B32" w:rsidP="003E1B32">
      <w:pPr>
        <w:pStyle w:val="AllowPageBreak"/>
      </w:pPr>
    </w:p>
    <w:p w:rsidR="00000000" w:rsidRPr="003E1B32" w:rsidP="003E1B32">
      <w:pPr>
        <w:pStyle w:val="Heading1"/>
      </w:pPr>
      <w:bookmarkStart w:id="3" w:name="O_313106"/>
      <w:bookmarkEnd w:id="3"/>
      <w:r w:rsidRPr="003E1B32">
        <w:t>Application of the Unit</w:t>
      </w:r>
    </w:p>
    <w:p w:rsidR="00000000" w:rsidRPr="003E1B32" w:rsidP="003E1B32">
      <w:pPr>
        <w:pStyle w:val="Heading1"/>
      </w:pPr>
      <w:bookmarkStart w:id="4" w:name="O_313113"/>
      <w:bookmarkEnd w:id="4"/>
      <w:r w:rsidRPr="003E1B32">
        <w:t>Licensing/Regulatory Information</w:t>
      </w:r>
    </w:p>
    <w:p w:rsidR="00000000" w:rsidRPr="003E1B32" w:rsidP="003E1B32">
      <w:pPr>
        <w:pStyle w:val="Heading1"/>
      </w:pPr>
      <w:bookmarkStart w:id="5" w:name="O_313103"/>
      <w:bookmarkEnd w:id="5"/>
      <w:r w:rsidRPr="003E1B32">
        <w:t>Pre-Requisites</w:t>
      </w:r>
    </w:p>
    <w:p w:rsidR="00000000" w:rsidRPr="003E1B32" w:rsidP="003E1B32">
      <w:pPr>
        <w:pStyle w:val="Heading1"/>
      </w:pPr>
      <w:bookmarkStart w:id="6" w:name="O_313102"/>
      <w:bookmarkEnd w:id="6"/>
      <w:r w:rsidRPr="003E1B32">
        <w:t>Employability Skills Information</w:t>
      </w:r>
    </w:p>
    <w:p w:rsidR="00000000" w:rsidRPr="003E1B32" w:rsidP="003E1B32">
      <w:pPr>
        <w:pStyle w:val="Heading1"/>
      </w:pPr>
      <w:bookmarkStart w:id="7" w:name="O_313107"/>
      <w:bookmarkEnd w:id="7"/>
      <w:r w:rsidRPr="003E1B32">
        <w:t>Elements and Performance Criteria Pre-Content</w:t>
      </w:r>
    </w:p>
    <w:p w:rsidR="00000000" w:rsidRPr="003E1B32" w:rsidP="003E1B32">
      <w:pPr>
        <w:pStyle w:val="BodyText"/>
      </w:pPr>
      <w:r w:rsidRPr="003E1B32">
        <w:t xml:space="preserve">Elements define essential outcomes of a unit of competence </w:t>
      </w:r>
    </w:p>
    <w:p w:rsidR="00000000" w:rsidRPr="003E1B32" w:rsidP="003E1B32">
      <w:pPr>
        <w:pStyle w:val="BodyText"/>
      </w:pPr>
      <w:r w:rsidRPr="003E1B32">
        <w:t xml:space="preserve">Performance criteria specify the level of performance required to demonstrate achievement of the element </w:t>
      </w:r>
    </w:p>
    <w:p w:rsidR="00000000" w:rsidRPr="003E1B32" w:rsidP="003E1B32">
      <w:pPr>
        <w:pStyle w:val="BodyText"/>
      </w:pPr>
      <w:r w:rsidRPr="003E1B32">
        <w:t xml:space="preserve">Elements define essential outcomes of a unit of competence </w:t>
      </w:r>
    </w:p>
    <w:p w:rsidR="00000000" w:rsidRPr="003E1B32" w:rsidP="003E1B32">
      <w:pPr>
        <w:pStyle w:val="BodyText"/>
      </w:pPr>
      <w:r w:rsidRPr="003E1B32">
        <w:t xml:space="preserve">Performance criteria specify the level of performance required to demonstrate achievement </w:t>
      </w:r>
      <w:r w:rsidRPr="003E1B32">
        <w:t xml:space="preserve">of the element </w:t>
      </w:r>
    </w:p>
    <w:p w:rsidR="00000000" w:rsidRPr="003E1B32" w:rsidP="003E1B32">
      <w:pPr>
        <w:pStyle w:val="AllowPageBreak"/>
      </w:pPr>
    </w:p>
    <w:p w:rsidR="00000000" w:rsidRPr="003E1B32" w:rsidP="003E1B32">
      <w:pPr>
        <w:pStyle w:val="Heading1"/>
      </w:pPr>
      <w:bookmarkStart w:id="8" w:name="O_313108"/>
      <w:bookmarkEnd w:id="8"/>
      <w:r w:rsidRPr="003E1B3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87F1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Elements and Performance Criteria</w:t>
            </w:r>
          </w:p>
        </w:tc>
      </w:tr>
      <w:tr w:rsidTr="00187F1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Performance Criteria</w:t>
            </w:r>
          </w:p>
        </w:tc>
      </w:tr>
      <w:tr w:rsidTr="00187F1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1</w:t>
            </w:r>
          </w:p>
        </w:tc>
        <w:tc>
          <w:tcPr>
            <w:tcW w:w="3000" w:type="dxa"/>
            <w:vMerge w:val="restart"/>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Examine the nature of the issue</w:t>
            </w:r>
          </w:p>
        </w:tc>
        <w:tc>
          <w:tcPr>
            <w:tcW w:w="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1.1</w:t>
            </w:r>
          </w:p>
        </w:tc>
        <w:tc>
          <w:tcPr>
            <w:tcW w:w="51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All facts relating to the issue are ascertained</w:t>
            </w:r>
          </w:p>
        </w:tc>
      </w:tr>
      <w:tr w:rsidTr="00187F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1.2</w:t>
            </w:r>
          </w:p>
        </w:tc>
        <w:tc>
          <w:tcPr>
            <w:tcW w:w="51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Customer feelings and opinions are understood through effective communication</w:t>
            </w:r>
          </w:p>
        </w:tc>
      </w:tr>
      <w:tr w:rsidTr="00187F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1.3</w:t>
            </w:r>
          </w:p>
        </w:tc>
        <w:tc>
          <w:tcPr>
            <w:tcW w:w="51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Enterprise and/or supplier policies relating to the issue are determined</w:t>
            </w:r>
          </w:p>
        </w:tc>
      </w:tr>
      <w:tr w:rsidTr="00187F1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2</w:t>
            </w:r>
          </w:p>
        </w:tc>
        <w:tc>
          <w:tcPr>
            <w:tcW w:w="3000" w:type="dxa"/>
            <w:vMerge w:val="restart"/>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Exercise judgement to resolve the issue</w:t>
            </w:r>
          </w:p>
        </w:tc>
        <w:tc>
          <w:tcPr>
            <w:tcW w:w="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2.1</w:t>
            </w:r>
          </w:p>
        </w:tc>
        <w:tc>
          <w:tcPr>
            <w:tcW w:w="51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Implications of the issue for the customer and organisation are identified</w:t>
            </w:r>
          </w:p>
        </w:tc>
      </w:tr>
      <w:tr w:rsidTr="00187F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2.2</w:t>
            </w:r>
          </w:p>
        </w:tc>
        <w:tc>
          <w:tcPr>
            <w:tcW w:w="51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Options for resolution are analysed and negotiated with the customer</w:t>
            </w:r>
          </w:p>
        </w:tc>
      </w:tr>
      <w:tr w:rsidTr="00187F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2.3</w:t>
            </w:r>
          </w:p>
        </w:tc>
        <w:tc>
          <w:tcPr>
            <w:tcW w:w="51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Proposed options are in accordance with legislative requirements and enterprise policies</w:t>
            </w:r>
          </w:p>
        </w:tc>
      </w:tr>
      <w:tr w:rsidTr="00187F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2.4</w:t>
            </w:r>
          </w:p>
        </w:tc>
        <w:tc>
          <w:tcPr>
            <w:tcW w:w="51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Matters for which a solution cannot be negotiated are referred to management</w:t>
            </w:r>
          </w:p>
        </w:tc>
      </w:tr>
      <w:tr w:rsidTr="00187F1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3</w:t>
            </w:r>
          </w:p>
        </w:tc>
        <w:tc>
          <w:tcPr>
            <w:tcW w:w="3000" w:type="dxa"/>
            <w:vMerge w:val="restart"/>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Document issue and outcome</w:t>
            </w:r>
          </w:p>
        </w:tc>
        <w:tc>
          <w:tcPr>
            <w:tcW w:w="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3.1</w:t>
            </w:r>
          </w:p>
        </w:tc>
        <w:tc>
          <w:tcPr>
            <w:tcW w:w="51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Outcome of the issue is reported to management</w:t>
            </w:r>
          </w:p>
        </w:tc>
      </w:tr>
      <w:tr w:rsidTr="00187F1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3.2</w:t>
            </w:r>
          </w:p>
        </w:tc>
        <w:tc>
          <w:tcPr>
            <w:tcW w:w="51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Issue and outcome is incorporated into customer feedback system</w:t>
            </w:r>
          </w:p>
        </w:tc>
      </w:tr>
    </w:tbl>
    <w:p w:rsidR="00000000" w:rsidRPr="003E1B32" w:rsidP="003E1B32">
      <w:pPr>
        <w:pStyle w:val="BodyText"/>
      </w:pPr>
    </w:p>
    <w:p w:rsidR="00000000" w:rsidRPr="003E1B32" w:rsidP="003E1B32">
      <w:pPr>
        <w:pStyle w:val="AllowPageBreak"/>
      </w:pPr>
    </w:p>
    <w:p w:rsidR="00000000" w:rsidRPr="003E1B32" w:rsidP="003E1B32">
      <w:pPr>
        <w:pStyle w:val="Heading1"/>
      </w:pPr>
      <w:bookmarkStart w:id="9" w:name="O_313109"/>
      <w:bookmarkEnd w:id="9"/>
      <w:r w:rsidRPr="003E1B32">
        <w:t>Required Skills and Knowledge</w:t>
      </w:r>
    </w:p>
    <w:p w:rsidR="00000000" w:rsidRPr="003E1B32" w:rsidP="003E1B32">
      <w:pPr>
        <w:pStyle w:val="Heading1"/>
      </w:pPr>
      <w:bookmarkStart w:id="10" w:name="O_313110"/>
      <w:bookmarkEnd w:id="10"/>
      <w:r w:rsidRPr="003E1B32">
        <w:t>Evidence Guide</w:t>
      </w:r>
    </w:p>
    <w:tbl>
      <w:tblPr>
        <w:tblW w:w="0" w:type="auto"/>
        <w:tblLayout w:type="fixed"/>
        <w:tblCellMar>
          <w:left w:w="62" w:type="dxa"/>
          <w:right w:w="62" w:type="dxa"/>
        </w:tblCellMar>
        <w:tblLook w:val="0000"/>
      </w:tblPr>
      <w:tblGrid>
        <w:gridCol w:w="4500"/>
        <w:gridCol w:w="4500"/>
      </w:tblGrid>
      <w:tr w:rsidTr="00187F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E1B32">
            <w:pPr>
              <w:pStyle w:val="BodyText"/>
              <w:rPr>
                <w:lang w:val="en-NZ"/>
              </w:rPr>
            </w:pPr>
          </w:p>
        </w:tc>
      </w:tr>
      <w:tr w:rsidTr="00187F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The Evidence Guide identifies critical aspects, knowledge and skills to be demonstrated to confirm competence for this unit. This is an integral p</w:t>
            </w:r>
            <w:r w:rsidRPr="003E1B32">
              <w:t xml:space="preserve">art of the assessment of competence and should be read in conjunction with the Range Statement.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It is essential that competence is fully observed and there is ability to transfer competence to changing circumstances and to r</w:t>
            </w:r>
            <w:r w:rsidRPr="003E1B32">
              <w:t xml:space="preserve">espond to unusual situations in the critical aspects of:   </w:t>
            </w:r>
          </w:p>
          <w:p w:rsidR="00000000" w:rsidP="003E1B32">
            <w:pPr>
              <w:pStyle w:val="BodyText"/>
              <w:rPr>
                <w:lang w:val="en-NZ"/>
              </w:rPr>
            </w:pPr>
            <w:r w:rsidRPr="003E1B32">
              <w:t xml:space="preserve">examining the cause of the complaint, acting within limits of authority to resolve the complaint and documenting the issue and outcome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 xml:space="preserve">Underpinning knowledge </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OH&amp;S legislation</w:t>
            </w:r>
          </w:p>
          <w:p w:rsidR="00000000" w:rsidRPr="003E1B32" w:rsidP="003E1B32">
            <w:pPr>
              <w:pStyle w:val="BodyText"/>
            </w:pPr>
            <w:r w:rsidRPr="003E1B32">
              <w:t>Industry and legis</w:t>
            </w:r>
            <w:r w:rsidRPr="003E1B32">
              <w:t xml:space="preserve">lative requirements </w:t>
            </w:r>
          </w:p>
          <w:p w:rsidR="00000000" w:rsidP="003E1B32">
            <w:pPr>
              <w:pStyle w:val="BodyText"/>
              <w:rPr>
                <w:lang w:val="en-NZ"/>
              </w:rPr>
            </w:pPr>
            <w:r w:rsidRPr="003E1B32">
              <w:t xml:space="preserve">Enterprise standards and procedures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Specific key competencies</w:t>
            </w:r>
            <w:r w:rsidRPr="003E1B32">
              <w:t xml:space="preserve">, </w:t>
            </w:r>
            <w:r w:rsidRPr="003E1B32">
              <w:rPr>
                <w:rStyle w:val="SpecialBold"/>
              </w:rPr>
              <w:t>underpinning and employability skills required to achieve the performance criteria</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These include a number of processes learned throughout work and life, which are require</w:t>
            </w:r>
            <w:r w:rsidRPr="003E1B32">
              <w:t xml:space="preserve">d in most jobs. Some of these are covered by the national key competencies, although others may be added. The details below highlight how these competencies are applied in the attainment of this unit. </w:t>
            </w:r>
          </w:p>
          <w:p w:rsidR="00000000" w:rsidRPr="003E1B32" w:rsidP="003E1B32">
            <w:pPr>
              <w:pStyle w:val="BodyText"/>
            </w:pPr>
            <w:r w:rsidRPr="003E1B32">
              <w:t>Application of the key competencies in this unit are t</w:t>
            </w:r>
            <w:r w:rsidRPr="003E1B32">
              <w:t>o satisfy the nominated level in which:</w:t>
            </w:r>
          </w:p>
          <w:p w:rsidR="00000000" w:rsidRPr="003E1B32" w:rsidP="003E1B32">
            <w:pPr>
              <w:pStyle w:val="BodyText"/>
            </w:pPr>
            <w:r w:rsidRPr="003E1B32">
              <w:t>Level 1 - relates to working effectively within set conditions and processes;</w:t>
            </w:r>
          </w:p>
          <w:p w:rsidR="00000000" w:rsidRPr="003E1B32" w:rsidP="003E1B32">
            <w:pPr>
              <w:pStyle w:val="BodyText"/>
            </w:pPr>
            <w:r w:rsidRPr="003E1B32">
              <w:t xml:space="preserve">Level 2 - relates to management or facilitation of conditions or processes; and </w:t>
            </w:r>
          </w:p>
          <w:p w:rsidR="00000000" w:rsidRPr="003E1B32" w:rsidP="003E1B32">
            <w:pPr>
              <w:pStyle w:val="BodyText"/>
            </w:pPr>
            <w:r w:rsidRPr="003E1B32">
              <w:t>Level 3 - relates to design, development and evaluation of conditions or process.</w:t>
            </w:r>
          </w:p>
          <w:p w:rsidR="00000000" w:rsidP="003E1B32">
            <w:pPr>
              <w:pStyle w:val="BodyText"/>
              <w:rPr>
                <w:lang w:val="en-NZ"/>
              </w:rPr>
            </w:pPr>
            <w:r w:rsidRPr="003E1B32">
              <w:t xml:space="preserve">How will the candidate apply the following key competency in this unit? The candidate will need to: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Collect, analyse and organise information</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 xml:space="preserve">Collect, analyse and organise </w:t>
            </w:r>
            <w:r w:rsidRPr="003E1B32">
              <w:t>information related to collating and analysing customer complaints</w:t>
            </w:r>
          </w:p>
          <w:p w:rsidR="00000000" w:rsidP="003E1B32">
            <w:pPr>
              <w:pStyle w:val="BodyText"/>
              <w:rPr>
                <w:lang w:val="en-NZ"/>
              </w:rPr>
            </w:pPr>
            <w:r w:rsidRPr="003E1B32">
              <w:t xml:space="preserve"> (Level 2)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Communicate ideas and information</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Communicate ideas and information ensuring staff are advised of enterprise policies and procedures and to refer unsolved complaints to managem</w:t>
            </w:r>
            <w:r w:rsidRPr="003E1B32">
              <w:t>ent</w:t>
            </w:r>
          </w:p>
          <w:p w:rsidR="00000000" w:rsidRPr="003E1B32" w:rsidP="003E1B32">
            <w:pPr>
              <w:pStyle w:val="BodyText"/>
            </w:pPr>
            <w:r w:rsidRPr="003E1B32">
              <w:t xml:space="preserve"> (Level 2) </w:t>
            </w:r>
          </w:p>
        </w:tc>
      </w:tr>
    </w:tbl>
    <w:p w:rsidR="00000000" w:rsidRPr="003E1B32" w:rsidP="003E1B32">
      <w:pPr>
        <w:pStyle w:val="BodyText"/>
      </w:pPr>
    </w:p>
    <w:tbl>
      <w:tblPr>
        <w:tblW w:w="0" w:type="auto"/>
        <w:tblLayout w:type="fixed"/>
        <w:tblCellMar>
          <w:left w:w="62" w:type="dxa"/>
          <w:right w:w="62" w:type="dxa"/>
        </w:tblCellMar>
        <w:tblLook w:val="0000"/>
      </w:tblPr>
      <w:tblGrid>
        <w:gridCol w:w="4500"/>
        <w:gridCol w:w="4500"/>
      </w:tblGrid>
      <w:tr w:rsidTr="00187F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E1B32">
            <w:pPr>
              <w:pStyle w:val="BodyText"/>
              <w:rPr>
                <w:lang w:val="en-NZ"/>
              </w:rPr>
            </w:pP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Plan and organise activities</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Plan and organise activities as preferred methodologies are developed to negotiate solutions</w:t>
            </w:r>
          </w:p>
          <w:p w:rsidR="00000000" w:rsidP="003E1B32">
            <w:pPr>
              <w:pStyle w:val="BodyText"/>
              <w:rPr>
                <w:lang w:val="en-NZ"/>
              </w:rPr>
            </w:pPr>
            <w:r w:rsidRPr="003E1B32">
              <w:t xml:space="preserve"> (Level 1)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Work with others and in a team</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Work with others and in a team by seeking team member advice and support</w:t>
            </w:r>
          </w:p>
          <w:p w:rsidR="00000000" w:rsidP="003E1B32">
            <w:pPr>
              <w:pStyle w:val="BodyText"/>
              <w:rPr>
                <w:lang w:val="en-NZ"/>
              </w:rPr>
            </w:pPr>
            <w:r w:rsidRPr="003E1B32">
              <w:t xml:space="preserve"> (Level 3)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Use mathematical ideas and techniques</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Use mathematical ideas and techniques to ensure accurate documents are kept, including  total cost of complaints</w:t>
            </w:r>
          </w:p>
          <w:p w:rsidR="00000000" w:rsidP="003E1B32">
            <w:pPr>
              <w:pStyle w:val="BodyText"/>
              <w:rPr>
                <w:lang w:val="en-NZ"/>
              </w:rPr>
            </w:pPr>
            <w:r w:rsidRPr="003E1B32">
              <w:t xml:space="preserve"> (Level 1)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 xml:space="preserve">Solve </w:t>
            </w:r>
            <w:r w:rsidRPr="003E1B32">
              <w:t>problems</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Establish diagnostic processes ensuring customer complaints are analysed and solutions negotiated</w:t>
            </w:r>
          </w:p>
          <w:p w:rsidR="00000000" w:rsidP="003E1B32">
            <w:pPr>
              <w:pStyle w:val="BodyText"/>
              <w:rPr>
                <w:lang w:val="en-NZ"/>
              </w:rPr>
            </w:pPr>
            <w:r w:rsidRPr="003E1B32">
              <w:t xml:space="preserve"> (Level 2)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Use technology</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Use workplace technology related to documenting customer complaints and data</w:t>
            </w:r>
          </w:p>
          <w:p w:rsidR="00000000" w:rsidP="003E1B32">
            <w:pPr>
              <w:pStyle w:val="BodyText"/>
              <w:rPr>
                <w:lang w:val="en-NZ"/>
              </w:rPr>
            </w:pPr>
            <w:r w:rsidRPr="003E1B32">
              <w:t xml:space="preserve"> (Level 1)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Underpinn</w:t>
            </w:r>
            <w:r w:rsidRPr="003E1B32">
              <w:t>ing knowledge and skills may be assessed on or off the job</w:t>
            </w:r>
          </w:p>
          <w:p w:rsidR="00000000" w:rsidRPr="003E1B32" w:rsidP="003E1B32">
            <w:pPr>
              <w:pStyle w:val="BodyText"/>
            </w:pPr>
            <w:r w:rsidRPr="003E1B32">
              <w:t>The assessment of practical skills must take place only after a period of supervised practice and repetitive experience. If workplace conditions are not available, assessment in simulated workplace</w:t>
            </w:r>
            <w:r w:rsidRPr="003E1B32">
              <w:t xml:space="preserve"> conditions is acceptable</w:t>
            </w:r>
          </w:p>
          <w:p w:rsidR="00000000" w:rsidP="003E1B32">
            <w:pPr>
              <w:pStyle w:val="BodyText"/>
              <w:rPr>
                <w:lang w:val="en-NZ"/>
              </w:rPr>
            </w:pPr>
            <w:r w:rsidRPr="003E1B32">
              <w:t xml:space="preserve">The prescribed outcome must be able to be achieved without direct supervision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 xml:space="preserve">Practical assessments:   </w:t>
            </w:r>
          </w:p>
          <w:p w:rsidR="00000000" w:rsidRPr="003E1B32" w:rsidP="003E1B32">
            <w:pPr>
              <w:pStyle w:val="BodyText"/>
            </w:pPr>
            <w:r w:rsidRPr="003E1B32">
              <w:t>identify customer position, feelings and opinions relating to an issue</w:t>
            </w:r>
          </w:p>
          <w:p w:rsidR="00000000" w:rsidRPr="003E1B32" w:rsidP="003E1B32">
            <w:pPr>
              <w:pStyle w:val="BodyText"/>
            </w:pPr>
            <w:r w:rsidRPr="003E1B32">
              <w:t>recommend and justify a proposed solution to selected issues</w:t>
            </w:r>
          </w:p>
          <w:p w:rsidR="00000000" w:rsidRPr="003E1B32" w:rsidP="003E1B32">
            <w:pPr>
              <w:pStyle w:val="BodyText"/>
            </w:pPr>
            <w:r w:rsidRPr="003E1B32">
              <w:t>obtain internal and customer agreement to a proposed solution</w:t>
            </w:r>
          </w:p>
          <w:p w:rsidR="00000000" w:rsidRPr="003E1B32" w:rsidP="003E1B32">
            <w:pPr>
              <w:pStyle w:val="BodyText"/>
            </w:pPr>
            <w:r w:rsidRPr="003E1B32">
              <w:t xml:space="preserve">incorporate issues and outcomes into the customer feedback system </w:t>
            </w:r>
          </w:p>
        </w:tc>
      </w:tr>
    </w:tbl>
    <w:p w:rsidR="00000000" w:rsidRPr="003E1B32" w:rsidP="003E1B32">
      <w:pPr>
        <w:pStyle w:val="BodyText"/>
      </w:pPr>
    </w:p>
    <w:tbl>
      <w:tblPr>
        <w:tblW w:w="0" w:type="auto"/>
        <w:tblLayout w:type="fixed"/>
        <w:tblCellMar>
          <w:left w:w="62" w:type="dxa"/>
          <w:right w:w="62" w:type="dxa"/>
        </w:tblCellMar>
        <w:tblLook w:val="0000"/>
      </w:tblPr>
      <w:tblGrid>
        <w:gridCol w:w="4500"/>
        <w:gridCol w:w="4500"/>
      </w:tblGrid>
      <w:tr w:rsidTr="00187F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E1B32">
            <w:pPr>
              <w:pStyle w:val="BodyText"/>
              <w:rPr>
                <w:lang w:val="en-NZ"/>
              </w:rPr>
            </w:pP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Specific resource requirements for this unit</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The following sh</w:t>
            </w:r>
            <w:r w:rsidRPr="003E1B32">
              <w:t xml:space="preserve">ould be made available:   </w:t>
            </w:r>
          </w:p>
          <w:p w:rsidR="00000000" w:rsidRPr="003E1B32" w:rsidP="003E1B32">
            <w:pPr>
              <w:pStyle w:val="BodyText"/>
            </w:pPr>
            <w:r w:rsidRPr="003E1B32">
              <w:t>a workplace or simulated workplace</w:t>
            </w:r>
          </w:p>
          <w:p w:rsidR="00000000" w:rsidRPr="003E1B32" w:rsidP="003E1B32">
            <w:pPr>
              <w:pStyle w:val="BodyText"/>
            </w:pPr>
            <w:r w:rsidRPr="003E1B32">
              <w:t>documentation, such as enterprise policy and procedure manuals relating to customer service, enterprise telephone directory, legislation and codes of practice</w:t>
            </w:r>
          </w:p>
          <w:p w:rsidR="00000000" w:rsidRPr="003E1B32" w:rsidP="003E1B32">
            <w:pPr>
              <w:pStyle w:val="BodyText"/>
            </w:pPr>
            <w:r w:rsidRPr="003E1B32">
              <w:t>a range of customers with different requirements (real or simulated)</w:t>
            </w:r>
          </w:p>
          <w:p w:rsidR="00000000" w:rsidRPr="003E1B32" w:rsidP="003E1B32">
            <w:pPr>
              <w:pStyle w:val="BodyText"/>
            </w:pPr>
            <w:r w:rsidRPr="003E1B32">
              <w:t>a communication system or a range of communication equipment</w:t>
            </w:r>
          </w:p>
          <w:p w:rsidR="00000000" w:rsidRPr="003E1B32" w:rsidP="003E1B32">
            <w:pPr>
              <w:pStyle w:val="BodyText"/>
            </w:pPr>
            <w:r w:rsidRPr="003E1B32">
              <w:t xml:space="preserve">a real or simulated </w:t>
            </w:r>
          </w:p>
        </w:tc>
      </w:tr>
    </w:tbl>
    <w:p w:rsidR="00000000" w:rsidRPr="003E1B32" w:rsidP="003E1B32">
      <w:pPr>
        <w:pStyle w:val="BodyText"/>
      </w:pPr>
    </w:p>
    <w:p w:rsidR="00000000" w:rsidRPr="003E1B32" w:rsidP="003E1B32">
      <w:pPr>
        <w:pStyle w:val="AllowPageBreak"/>
      </w:pPr>
    </w:p>
    <w:p w:rsidR="00000000" w:rsidRPr="003E1B32" w:rsidP="003E1B32">
      <w:pPr>
        <w:pStyle w:val="Heading1"/>
      </w:pPr>
      <w:bookmarkStart w:id="11" w:name="O_313111"/>
      <w:bookmarkEnd w:id="11"/>
      <w:r w:rsidRPr="003E1B32">
        <w:t>Range Statement</w:t>
      </w:r>
    </w:p>
    <w:tbl>
      <w:tblPr>
        <w:tblW w:w="0" w:type="auto"/>
        <w:tblLayout w:type="fixed"/>
        <w:tblCellMar>
          <w:left w:w="62" w:type="dxa"/>
          <w:right w:w="62" w:type="dxa"/>
        </w:tblCellMar>
        <w:tblLook w:val="0000"/>
      </w:tblPr>
      <w:tblGrid>
        <w:gridCol w:w="4500"/>
        <w:gridCol w:w="4500"/>
      </w:tblGrid>
      <w:tr w:rsidTr="00187F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E1B32">
            <w:pPr>
              <w:pStyle w:val="BodyText"/>
              <w:rPr>
                <w:lang w:val="en-NZ"/>
              </w:rPr>
            </w:pPr>
          </w:p>
        </w:tc>
      </w:tr>
      <w:tr w:rsidTr="00187F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The Range Statement provides advice to interpret the scope and cont</w:t>
            </w:r>
            <w:r w:rsidRPr="003E1B32">
              <w:t xml:space="preserve">ext of this unit of competence, allowing for differences between enterprises and workplaces. It relates to the unit as a whole and facilitates holistic assessment. The following variables may be present for this particular unit: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 xml:space="preserve">Unit scope </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Methods incl</w:t>
            </w:r>
            <w:r w:rsidRPr="003E1B32">
              <w:t xml:space="preserve">ude:   </w:t>
            </w:r>
          </w:p>
          <w:p w:rsidR="00000000" w:rsidRPr="003E1B32" w:rsidP="003E1B32">
            <w:pPr>
              <w:pStyle w:val="BodyText"/>
            </w:pPr>
            <w:r w:rsidRPr="003E1B32">
              <w:t>communications</w:t>
            </w:r>
          </w:p>
          <w:p w:rsidR="00000000" w:rsidRPr="003E1B32" w:rsidP="003E1B32">
            <w:pPr>
              <w:pStyle w:val="BodyText"/>
            </w:pPr>
            <w:r w:rsidRPr="003E1B32">
              <w:t xml:space="preserve">documenting information </w:t>
            </w:r>
          </w:p>
        </w:tc>
      </w:tr>
    </w:tbl>
    <w:p w:rsidR="00000000" w:rsidRPr="003E1B32" w:rsidP="003E1B32">
      <w:pPr>
        <w:pStyle w:val="BodyText"/>
      </w:pPr>
    </w:p>
    <w:tbl>
      <w:tblPr>
        <w:tblW w:w="0" w:type="auto"/>
        <w:tblLayout w:type="fixed"/>
        <w:tblCellMar>
          <w:left w:w="62" w:type="dxa"/>
          <w:right w:w="62" w:type="dxa"/>
        </w:tblCellMar>
        <w:tblLook w:val="0000"/>
      </w:tblPr>
      <w:tblGrid>
        <w:gridCol w:w="4500"/>
        <w:gridCol w:w="4500"/>
      </w:tblGrid>
      <w:tr w:rsidTr="00187F1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E1B32">
            <w:pPr>
              <w:pStyle w:val="BodyText"/>
              <w:rPr>
                <w:lang w:val="en-NZ"/>
              </w:rPr>
            </w:pP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t>Unit scope (</w:t>
            </w:r>
            <w:r w:rsidRPr="003E1B32">
              <w:rPr>
                <w:rStyle w:val="SpecialBold"/>
              </w:rPr>
              <w:t>continued</w:t>
            </w:r>
            <w:r w:rsidRPr="003E1B32">
              <w:t xml:space="preserve">) </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 xml:space="preserve">Issues involving action at this level may be:   </w:t>
            </w:r>
          </w:p>
          <w:p w:rsidR="00000000" w:rsidRPr="003E1B32" w:rsidP="003E1B32">
            <w:pPr>
              <w:pStyle w:val="BodyText"/>
            </w:pPr>
            <w:r w:rsidRPr="003E1B32">
              <w:t>warranty issues</w:t>
            </w:r>
          </w:p>
          <w:p w:rsidR="00000000" w:rsidRPr="003E1B32" w:rsidP="003E1B32">
            <w:pPr>
              <w:pStyle w:val="BodyText"/>
            </w:pPr>
            <w:r w:rsidRPr="003E1B32">
              <w:t>policy matters</w:t>
            </w:r>
          </w:p>
          <w:p w:rsidR="00000000" w:rsidRPr="003E1B32" w:rsidP="003E1B32">
            <w:pPr>
              <w:pStyle w:val="BodyText"/>
            </w:pPr>
            <w:r w:rsidRPr="003E1B32">
              <w:t>commercial decisions taken</w:t>
            </w:r>
          </w:p>
          <w:p w:rsidR="00000000" w:rsidRPr="003E1B32" w:rsidP="003E1B32">
            <w:pPr>
              <w:pStyle w:val="BodyText"/>
            </w:pPr>
            <w:r w:rsidRPr="003E1B32">
              <w:t>codes of practice</w:t>
            </w:r>
          </w:p>
          <w:p w:rsidR="00000000" w:rsidRPr="003E1B32" w:rsidP="003E1B32">
            <w:pPr>
              <w:pStyle w:val="BodyText"/>
            </w:pPr>
          </w:p>
          <w:p w:rsidR="00000000" w:rsidRPr="003E1B32" w:rsidP="003E1B32">
            <w:pPr>
              <w:pStyle w:val="BodyText"/>
            </w:pPr>
            <w:r w:rsidRPr="003E1B32">
              <w:t xml:space="preserve">Industry/legislative/enterprise requirements for resolution may include:     </w:t>
            </w:r>
          </w:p>
          <w:p w:rsidR="00000000" w:rsidRPr="003E1B32" w:rsidP="003E1B32">
            <w:pPr>
              <w:pStyle w:val="BodyText"/>
            </w:pPr>
            <w:r w:rsidRPr="003E1B32">
              <w:t>consumer affairs legislation</w:t>
            </w:r>
          </w:p>
          <w:p w:rsidR="00000000" w:rsidRPr="003E1B32" w:rsidP="003E1B32">
            <w:pPr>
              <w:pStyle w:val="BodyText"/>
            </w:pPr>
            <w:r w:rsidRPr="003E1B32">
              <w:t>Trade Practices Act</w:t>
            </w:r>
          </w:p>
          <w:p w:rsidR="00000000" w:rsidRPr="003E1B32" w:rsidP="003E1B32">
            <w:pPr>
              <w:pStyle w:val="BodyText"/>
            </w:pPr>
            <w:r w:rsidRPr="003E1B32">
              <w:t>anti-discrimination legislation</w:t>
            </w:r>
          </w:p>
          <w:p w:rsidR="00000000" w:rsidRPr="003E1B32" w:rsidP="003E1B32">
            <w:pPr>
              <w:pStyle w:val="BodyText"/>
            </w:pPr>
          </w:p>
          <w:p w:rsidR="00000000" w:rsidRPr="003E1B32" w:rsidP="003E1B32">
            <w:pPr>
              <w:pStyle w:val="BodyText"/>
            </w:pPr>
            <w:r w:rsidRPr="003E1B32">
              <w:t xml:space="preserve">Options for resolution may include:     </w:t>
            </w:r>
          </w:p>
          <w:p w:rsidR="00000000" w:rsidRPr="003E1B32" w:rsidP="003E1B32">
            <w:pPr>
              <w:pStyle w:val="BodyText"/>
            </w:pPr>
            <w:r w:rsidRPr="003E1B32">
              <w:t>rework</w:t>
            </w:r>
          </w:p>
          <w:p w:rsidR="00000000" w:rsidRPr="003E1B32" w:rsidP="003E1B32">
            <w:pPr>
              <w:pStyle w:val="BodyText"/>
            </w:pPr>
            <w:r w:rsidRPr="003E1B32">
              <w:t>reduced fee for work completed/agreed</w:t>
            </w:r>
          </w:p>
          <w:p w:rsidR="00000000" w:rsidRPr="003E1B32" w:rsidP="003E1B32">
            <w:pPr>
              <w:pStyle w:val="BodyText"/>
            </w:pPr>
            <w:r w:rsidRPr="003E1B32">
              <w:t>additional services for free/reduced fee</w:t>
            </w:r>
          </w:p>
          <w:p w:rsidR="00000000" w:rsidP="003E1B32">
            <w:pPr>
              <w:pStyle w:val="BodyText"/>
              <w:rPr>
                <w:lang w:val="en-NZ"/>
              </w:rPr>
            </w:pPr>
            <w:r w:rsidRPr="003E1B32">
              <w:t xml:space="preserve">referrals to other suppliers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Unit context</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 xml:space="preserve">This unit of competence applies to the following and should be contextualised to the qualification to which it is being applied:   </w:t>
            </w:r>
          </w:p>
          <w:p w:rsidR="00000000" w:rsidP="003E1B32">
            <w:pPr>
              <w:pStyle w:val="BodyText"/>
              <w:rPr>
                <w:lang w:val="en-NZ"/>
              </w:rPr>
            </w:pPr>
            <w:r w:rsidRPr="003E1B32">
              <w:t xml:space="preserve">RS&amp;R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Enterprise operating</w:t>
            </w:r>
            <w:r w:rsidRPr="003E1B32">
              <w:t xml:space="preserve"> procedures</w:t>
            </w:r>
          </w:p>
          <w:p w:rsidR="00000000" w:rsidRPr="003E1B32" w:rsidP="003E1B32">
            <w:pPr>
              <w:pStyle w:val="BodyText"/>
            </w:pPr>
            <w:r w:rsidRPr="003E1B32">
              <w:t>Product manufacturer/component supplier specifications</w:t>
            </w:r>
          </w:p>
          <w:p w:rsidR="00000000" w:rsidRPr="003E1B32" w:rsidP="003E1B32">
            <w:pPr>
              <w:pStyle w:val="BodyText"/>
            </w:pPr>
            <w:r w:rsidRPr="003E1B32">
              <w:t>Customer requirements</w:t>
            </w:r>
          </w:p>
          <w:p w:rsidR="00000000" w:rsidP="003E1B32">
            <w:pPr>
              <w:pStyle w:val="BodyText"/>
              <w:rPr>
                <w:lang w:val="en-NZ"/>
              </w:rPr>
            </w:pPr>
            <w:r w:rsidRPr="003E1B32">
              <w:t xml:space="preserve">Industry/workplace codes of practice </w:t>
            </w:r>
          </w:p>
        </w:tc>
      </w:tr>
      <w:tr w:rsidTr="00187F1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1B32">
            <w:pPr>
              <w:pStyle w:val="BodyText"/>
              <w:rPr>
                <w:lang w:val="en-NZ"/>
              </w:rPr>
            </w:pPr>
            <w:r w:rsidRPr="003E1B32">
              <w:rPr>
                <w:rStyle w:val="SpecialBold"/>
              </w:rPr>
              <w:t>Safety</w:t>
            </w:r>
            <w:r w:rsidRPr="003E1B32">
              <w:t xml:space="preserve"> (</w:t>
            </w:r>
            <w:r w:rsidRPr="003E1B32">
              <w:rPr>
                <w:rStyle w:val="SpecialBold"/>
              </w:rPr>
              <w:t>OH</w:t>
            </w:r>
            <w:r w:rsidRPr="003E1B32">
              <w:t>&amp;</w:t>
            </w:r>
            <w:r w:rsidRPr="003E1B32">
              <w:rPr>
                <w:rStyle w:val="SpecialBold"/>
              </w:rPr>
              <w:t>S</w:t>
            </w:r>
            <w:r w:rsidRPr="003E1B32">
              <w:t xml:space="preserve">) </w:t>
            </w:r>
          </w:p>
        </w:tc>
        <w:tc>
          <w:tcPr>
            <w:tcW w:w="4500" w:type="dxa"/>
            <w:tcBorders>
              <w:top w:val="nil"/>
              <w:left w:val="nil"/>
              <w:bottom w:val="nil"/>
              <w:right w:val="nil"/>
            </w:tcBorders>
            <w:tcMar>
              <w:top w:w="0" w:type="dxa"/>
              <w:left w:w="62" w:type="dxa"/>
              <w:bottom w:w="0" w:type="dxa"/>
              <w:right w:w="62" w:type="dxa"/>
            </w:tcMar>
          </w:tcPr>
          <w:p w:rsidR="00000000" w:rsidRPr="003E1B32" w:rsidP="003E1B32">
            <w:pPr>
              <w:pStyle w:val="BodyText"/>
            </w:pPr>
            <w:r w:rsidRPr="003E1B32">
              <w:t>State/Territory OH&amp;S legislation</w:t>
            </w:r>
          </w:p>
          <w:p w:rsidR="00000000" w:rsidRPr="003E1B32" w:rsidP="003E1B32">
            <w:pPr>
              <w:pStyle w:val="BodyText"/>
            </w:pPr>
            <w:r w:rsidRPr="003E1B32">
              <w:t xml:space="preserve">Award provisions </w:t>
            </w:r>
          </w:p>
        </w:tc>
      </w:tr>
    </w:tbl>
    <w:p w:rsidR="00000000" w:rsidRPr="003E1B32" w:rsidP="003E1B32">
      <w:pPr>
        <w:pStyle w:val="BodyText"/>
      </w:pPr>
    </w:p>
    <w:p w:rsidR="00000000" w:rsidRPr="003E1B32" w:rsidP="003E1B32">
      <w:pPr>
        <w:pStyle w:val="AllowPageBreak"/>
      </w:pPr>
    </w:p>
    <w:p w:rsidR="00000000" w:rsidRPr="003E1B32" w:rsidP="003E1B32">
      <w:pPr>
        <w:pStyle w:val="Heading1"/>
      </w:pPr>
      <w:bookmarkStart w:id="12" w:name="O_313112"/>
      <w:bookmarkEnd w:id="12"/>
      <w:r w:rsidRPr="003E1B32">
        <w:t>Unit Sector(s)</w:t>
      </w:r>
    </w:p>
    <w:p w:rsidR="00000000" w:rsidRPr="003E1B32" w:rsidP="003E1B32"/>
    <w:sectPr w:rsidSect="003E1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F1F" w:rsidP="00187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1F" w:rsidP="003E1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7F1F" w:rsidP="003E1B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7F1F" w:rsidP="003E1B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F1F" w:rsidP="00187F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1F" w:rsidP="003E1B32">
    <w:pPr>
      <w:pStyle w:val="Header"/>
      <w:framePr w:wrap="around"/>
    </w:pPr>
    <w:r>
      <w:fldChar w:fldCharType="begin"/>
    </w:r>
    <w:r>
      <w:instrText xml:space="preserve"> TITLE   \* MERGEFORMAT </w:instrText>
    </w:r>
    <w:r>
      <w:fldChar w:fldCharType="separate"/>
    </w:r>
    <w:r>
      <w:t>AURC463238A Manage complex customer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7F1F" w:rsidP="003E1B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B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1B32"/>
    <w:pPr>
      <w:spacing w:before="360" w:after="60"/>
      <w:outlineLvl w:val="0"/>
    </w:pPr>
    <w:rPr>
      <w:sz w:val="32"/>
    </w:rPr>
  </w:style>
  <w:style w:type="paragraph" w:styleId="Heading2">
    <w:name w:val="heading 2"/>
    <w:basedOn w:val="HeadingBase"/>
    <w:next w:val="BodyText"/>
    <w:link w:val="Heading2Char"/>
    <w:qFormat/>
    <w:rsid w:val="003E1B32"/>
    <w:pPr>
      <w:keepLines/>
      <w:spacing w:before="240" w:after="120"/>
      <w:outlineLvl w:val="1"/>
    </w:pPr>
    <w:rPr>
      <w:sz w:val="28"/>
      <w:szCs w:val="40"/>
    </w:rPr>
  </w:style>
  <w:style w:type="paragraph" w:styleId="Heading3">
    <w:name w:val="heading 3"/>
    <w:basedOn w:val="HeadingBase"/>
    <w:next w:val="BodyText"/>
    <w:link w:val="Heading3Char"/>
    <w:qFormat/>
    <w:rsid w:val="003E1B32"/>
    <w:pPr>
      <w:spacing w:before="180" w:after="120"/>
      <w:outlineLvl w:val="2"/>
    </w:pPr>
    <w:rPr>
      <w:spacing w:val="-10"/>
      <w:kern w:val="32"/>
    </w:rPr>
  </w:style>
  <w:style w:type="paragraph" w:styleId="Heading4">
    <w:name w:val="heading 4"/>
    <w:basedOn w:val="HeadingBase"/>
    <w:next w:val="BodyText"/>
    <w:link w:val="Heading4Char"/>
    <w:qFormat/>
    <w:rsid w:val="003E1B32"/>
    <w:pPr>
      <w:spacing w:before="160" w:after="120"/>
      <w:outlineLvl w:val="3"/>
    </w:pPr>
    <w:rPr>
      <w:sz w:val="22"/>
    </w:rPr>
  </w:style>
  <w:style w:type="paragraph" w:styleId="Heading5">
    <w:name w:val="heading 5"/>
    <w:basedOn w:val="HeadingBase"/>
    <w:next w:val="Normal"/>
    <w:link w:val="Heading5Char"/>
    <w:qFormat/>
    <w:rsid w:val="003E1B32"/>
    <w:pPr>
      <w:spacing w:before="80"/>
      <w:outlineLvl w:val="4"/>
    </w:pPr>
    <w:rPr>
      <w:color w:val="918585"/>
      <w:sz w:val="20"/>
    </w:rPr>
  </w:style>
  <w:style w:type="paragraph" w:styleId="Heading6">
    <w:name w:val="heading 6"/>
    <w:basedOn w:val="HeadingBase"/>
    <w:next w:val="Normal"/>
    <w:link w:val="Heading6Char"/>
    <w:qFormat/>
    <w:rsid w:val="003E1B32"/>
    <w:pPr>
      <w:spacing w:before="60"/>
      <w:outlineLvl w:val="5"/>
    </w:pPr>
    <w:rPr>
      <w:color w:val="918585"/>
      <w:sz w:val="20"/>
    </w:rPr>
  </w:style>
  <w:style w:type="paragraph" w:styleId="Heading7">
    <w:name w:val="heading 7"/>
    <w:basedOn w:val="Normal"/>
    <w:next w:val="Normal"/>
    <w:link w:val="Heading7Char"/>
    <w:qFormat/>
    <w:rsid w:val="003E1B32"/>
    <w:pPr>
      <w:ind w:left="720"/>
      <w:outlineLvl w:val="6"/>
    </w:pPr>
    <w:rPr>
      <w:i/>
    </w:rPr>
  </w:style>
  <w:style w:type="paragraph" w:styleId="Heading8">
    <w:name w:val="heading 8"/>
    <w:basedOn w:val="Normal"/>
    <w:next w:val="Normal"/>
    <w:link w:val="Heading8Char"/>
    <w:qFormat/>
    <w:rsid w:val="003E1B32"/>
    <w:pPr>
      <w:ind w:left="720"/>
      <w:outlineLvl w:val="7"/>
    </w:pPr>
    <w:rPr>
      <w:i/>
    </w:rPr>
  </w:style>
  <w:style w:type="paragraph" w:styleId="Heading9">
    <w:name w:val="heading 9"/>
    <w:basedOn w:val="Normal"/>
    <w:next w:val="Normal"/>
    <w:link w:val="Heading9Char"/>
    <w:qFormat/>
    <w:rsid w:val="003E1B32"/>
    <w:pPr>
      <w:ind w:left="720"/>
      <w:outlineLvl w:val="8"/>
    </w:pPr>
    <w:rPr>
      <w:i/>
    </w:rPr>
  </w:style>
  <w:style w:type="character" w:default="1" w:styleId="DefaultParagraphFont">
    <w:name w:val="Default Paragraph Font"/>
    <w:uiPriority w:val="1"/>
    <w:unhideWhenUsed/>
    <w:rsid w:val="003E1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B32"/>
  </w:style>
  <w:style w:type="character" w:customStyle="1" w:styleId="Heading1Char">
    <w:name w:val="Heading 1 Char"/>
    <w:basedOn w:val="DefaultParagraphFont"/>
    <w:link w:val="Heading1"/>
    <w:rsid w:val="003E1B32"/>
    <w:rPr>
      <w:rFonts w:ascii="Times New Roman" w:eastAsia="Times New Roman" w:hAnsi="Times New Roman" w:cs="Times New Roman"/>
      <w:b/>
      <w:sz w:val="32"/>
      <w:szCs w:val="20"/>
      <w:lang w:eastAsia="en-US"/>
    </w:rPr>
  </w:style>
  <w:style w:type="paragraph" w:styleId="BodyText">
    <w:name w:val="Body Text"/>
    <w:basedOn w:val="Normal"/>
    <w:link w:val="BodyTextChar"/>
    <w:rsid w:val="003E1B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B32"/>
    <w:rPr>
      <w:rFonts w:ascii="Times New Roman" w:eastAsia="Times New Roman" w:hAnsi="Times New Roman" w:cs="Times New Roman"/>
      <w:sz w:val="24"/>
      <w:lang w:val="en-US" w:eastAsia="en-US"/>
    </w:rPr>
  </w:style>
  <w:style w:type="paragraph" w:styleId="Footer">
    <w:name w:val="footer"/>
    <w:basedOn w:val="Normal"/>
    <w:link w:val="FooterChar"/>
    <w:rsid w:val="003E1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B3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E1B32"/>
    <w:rPr>
      <w:b/>
      <w:spacing w:val="0"/>
    </w:rPr>
  </w:style>
  <w:style w:type="paragraph" w:styleId="Header">
    <w:name w:val="header"/>
    <w:basedOn w:val="Normal"/>
    <w:link w:val="HeaderChar"/>
    <w:rsid w:val="003E1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B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1B32"/>
    <w:pPr>
      <w:spacing w:before="240" w:after="120"/>
      <w:outlineLvl w:val="0"/>
    </w:pPr>
    <w:rPr>
      <w:rFonts w:ascii="Times New Roman" w:hAnsi="Times New Roman"/>
      <w:b/>
      <w:sz w:val="28"/>
    </w:rPr>
  </w:style>
  <w:style w:type="paragraph" w:customStyle="1" w:styleId="AllowPageBreak">
    <w:name w:val="AllowPageBreak"/>
    <w:rsid w:val="003E1B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1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B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1B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1B32"/>
    <w:rPr>
      <w:rFonts w:ascii="Courier New" w:eastAsia="Times New Roman" w:hAnsi="Courier New" w:cs="Times New Roman"/>
      <w:i/>
      <w:szCs w:val="20"/>
      <w:lang w:val="en-US" w:eastAsia="en-US"/>
    </w:rPr>
  </w:style>
  <w:style w:type="paragraph" w:customStyle="1" w:styleId="HeadingBase">
    <w:name w:val="Heading Base"/>
    <w:rsid w:val="003E1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B32"/>
    <w:pPr>
      <w:tabs>
        <w:tab w:val="right" w:leader="dot" w:pos="9072"/>
      </w:tabs>
      <w:ind w:left="567"/>
    </w:pPr>
    <w:rPr>
      <w:szCs w:val="22"/>
    </w:rPr>
  </w:style>
  <w:style w:type="paragraph" w:customStyle="1" w:styleId="TOCBase">
    <w:name w:val="TOC Base"/>
    <w:rsid w:val="003E1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B32"/>
    <w:pPr>
      <w:tabs>
        <w:tab w:val="right" w:leader="dot" w:pos="9072"/>
      </w:tabs>
      <w:spacing w:before="40" w:after="40"/>
      <w:ind w:left="284"/>
    </w:pPr>
    <w:rPr>
      <w:rFonts w:ascii="Times New Roman" w:hAnsi="Times New Roman"/>
    </w:rPr>
  </w:style>
  <w:style w:type="paragraph" w:styleId="TOC1">
    <w:name w:val="toc 1"/>
    <w:basedOn w:val="TOCBase"/>
    <w:next w:val="Normal"/>
    <w:rsid w:val="003E1B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B32"/>
    <w:pPr>
      <w:spacing w:before="5040"/>
      <w:jc w:val="center"/>
    </w:pPr>
    <w:rPr>
      <w:sz w:val="48"/>
      <w:szCs w:val="72"/>
      <w:lang w:val="en-US"/>
    </w:rPr>
  </w:style>
  <w:style w:type="character" w:customStyle="1" w:styleId="TitleChar">
    <w:name w:val="Title Char"/>
    <w:basedOn w:val="DefaultParagraphFont"/>
    <w:link w:val="Title"/>
    <w:rsid w:val="003E1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B32"/>
    <w:pPr>
      <w:tabs>
        <w:tab w:val="left" w:pos="3600"/>
        <w:tab w:val="left" w:pos="3958"/>
      </w:tabs>
    </w:pPr>
  </w:style>
  <w:style w:type="paragraph" w:styleId="List">
    <w:name w:val="List"/>
    <w:basedOn w:val="BodyText"/>
    <w:next w:val="BodyText"/>
    <w:rsid w:val="003E1B32"/>
    <w:pPr>
      <w:tabs>
        <w:tab w:val="left" w:pos="340"/>
      </w:tabs>
      <w:spacing w:before="60" w:after="60"/>
      <w:ind w:left="340" w:hanging="340"/>
    </w:pPr>
  </w:style>
  <w:style w:type="paragraph" w:styleId="ListBullet">
    <w:name w:val="List Bullet"/>
    <w:basedOn w:val="List"/>
    <w:rsid w:val="003E1B32"/>
    <w:pPr>
      <w:numPr>
        <w:numId w:val="11"/>
      </w:numPr>
      <w:tabs>
        <w:tab w:val="clear" w:pos="340"/>
      </w:tabs>
      <w:spacing w:before="40" w:after="40"/>
    </w:pPr>
  </w:style>
  <w:style w:type="paragraph" w:customStyle="1" w:styleId="Note">
    <w:name w:val="Note"/>
    <w:basedOn w:val="BodyText"/>
    <w:rsid w:val="003E1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B32"/>
    <w:pPr>
      <w:framePr w:wrap="auto" w:hAnchor="text" w:y="6049"/>
    </w:pPr>
    <w:rPr>
      <w:color w:val="000000"/>
      <w:sz w:val="40"/>
    </w:rPr>
  </w:style>
  <w:style w:type="paragraph" w:customStyle="1" w:styleId="TOCTitle">
    <w:name w:val="TOCTitle"/>
    <w:basedOn w:val="Heading1"/>
    <w:rsid w:val="003E1B32"/>
    <w:pPr>
      <w:spacing w:after="240"/>
      <w:jc w:val="center"/>
      <w:outlineLvl w:val="9"/>
    </w:pPr>
    <w:rPr>
      <w:caps/>
    </w:rPr>
  </w:style>
  <w:style w:type="paragraph" w:customStyle="1" w:styleId="Version">
    <w:name w:val="Version"/>
    <w:rsid w:val="003E1B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B32"/>
    <w:pPr>
      <w:numPr>
        <w:numId w:val="12"/>
      </w:numPr>
      <w:tabs>
        <w:tab w:val="clear" w:pos="680"/>
      </w:tabs>
    </w:pPr>
  </w:style>
  <w:style w:type="paragraph" w:styleId="Index1">
    <w:name w:val="index 1"/>
    <w:basedOn w:val="Normal"/>
    <w:next w:val="Normal"/>
    <w:semiHidden/>
    <w:rsid w:val="003E1B32"/>
    <w:pPr>
      <w:keepNext w:val="0"/>
      <w:tabs>
        <w:tab w:val="right" w:pos="4176"/>
      </w:tabs>
      <w:ind w:left="198" w:hanging="198"/>
    </w:pPr>
    <w:rPr>
      <w:rFonts w:ascii="Garamond" w:hAnsi="Garamond"/>
    </w:rPr>
  </w:style>
  <w:style w:type="paragraph" w:styleId="IndexHeading">
    <w:name w:val="index heading"/>
    <w:basedOn w:val="Normal"/>
    <w:next w:val="Index1"/>
    <w:semiHidden/>
    <w:rsid w:val="003E1B32"/>
    <w:pPr>
      <w:spacing w:before="120" w:after="120"/>
    </w:pPr>
    <w:rPr>
      <w:rFonts w:ascii="Arial" w:hAnsi="Arial"/>
      <w:b/>
      <w:color w:val="918585"/>
      <w:sz w:val="24"/>
    </w:rPr>
  </w:style>
  <w:style w:type="paragraph" w:customStyle="1" w:styleId="Chapter">
    <w:name w:val="Chapter"/>
    <w:basedOn w:val="Normal"/>
    <w:rsid w:val="003E1B32"/>
    <w:pPr>
      <w:spacing w:before="240"/>
    </w:pPr>
    <w:rPr>
      <w:rFonts w:ascii="Times New Roman" w:hAnsi="Times New Roman"/>
      <w:smallCaps/>
      <w:spacing w:val="80"/>
      <w:sz w:val="28"/>
    </w:rPr>
  </w:style>
  <w:style w:type="paragraph" w:customStyle="1" w:styleId="InChapter">
    <w:name w:val="InChapter"/>
    <w:basedOn w:val="Heading3"/>
    <w:rsid w:val="003E1B32"/>
    <w:pPr>
      <w:spacing w:after="240"/>
      <w:outlineLvl w:val="9"/>
    </w:pPr>
    <w:rPr>
      <w:noProof/>
    </w:rPr>
  </w:style>
  <w:style w:type="paragraph" w:styleId="Index2">
    <w:name w:val="index 2"/>
    <w:basedOn w:val="Normal"/>
    <w:next w:val="Normal"/>
    <w:semiHidden/>
    <w:rsid w:val="003E1B32"/>
    <w:pPr>
      <w:tabs>
        <w:tab w:val="right" w:pos="4176"/>
      </w:tabs>
      <w:ind w:left="568" w:hanging="284"/>
    </w:pPr>
    <w:rPr>
      <w:rFonts w:ascii="Garamond" w:hAnsi="Garamond"/>
    </w:rPr>
  </w:style>
  <w:style w:type="paragraph" w:customStyle="1" w:styleId="Byline">
    <w:name w:val="Byline"/>
    <w:rsid w:val="003E1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B32"/>
    <w:pPr>
      <w:tabs>
        <w:tab w:val="clear" w:pos="3600"/>
        <w:tab w:val="clear" w:pos="3958"/>
      </w:tabs>
      <w:jc w:val="right"/>
    </w:pPr>
  </w:style>
  <w:style w:type="character" w:styleId="Emphasis">
    <w:name w:val="Emphasis"/>
    <w:basedOn w:val="DefaultParagraphFont"/>
    <w:qFormat/>
    <w:rsid w:val="003E1B32"/>
    <w:rPr>
      <w:i/>
    </w:rPr>
  </w:style>
  <w:style w:type="paragraph" w:styleId="Caption">
    <w:name w:val="caption"/>
    <w:basedOn w:val="BodyText"/>
    <w:next w:val="Normal"/>
    <w:qFormat/>
    <w:rsid w:val="003E1B32"/>
    <w:pPr>
      <w:framePr w:w="2268" w:hSpace="181" w:vSpace="181" w:wrap="around" w:vAnchor="text" w:hAnchor="page" w:x="1135" w:y="285" w:anchorLock="1"/>
    </w:pPr>
    <w:rPr>
      <w:i/>
    </w:rPr>
  </w:style>
  <w:style w:type="paragraph" w:customStyle="1" w:styleId="MiniTOCTitle">
    <w:name w:val="MiniTOCTitle"/>
    <w:basedOn w:val="Heading4"/>
    <w:rsid w:val="003E1B32"/>
    <w:pPr>
      <w:spacing w:before="240"/>
      <w:outlineLvl w:val="9"/>
    </w:pPr>
    <w:rPr>
      <w:noProof/>
      <w:sz w:val="24"/>
    </w:rPr>
  </w:style>
  <w:style w:type="paragraph" w:customStyle="1" w:styleId="MiniTOCItem">
    <w:name w:val="MiniTOCItem"/>
    <w:basedOn w:val="ListBullet"/>
    <w:rsid w:val="003E1B32"/>
    <w:pPr>
      <w:numPr>
        <w:numId w:val="0"/>
      </w:numPr>
      <w:tabs>
        <w:tab w:val="right" w:leader="dot" w:pos="6521"/>
      </w:tabs>
      <w:spacing w:before="0" w:after="0"/>
    </w:pPr>
  </w:style>
  <w:style w:type="paragraph" w:customStyle="1" w:styleId="TOFTitle">
    <w:name w:val="TOFTitle"/>
    <w:basedOn w:val="TOCTitle"/>
    <w:rsid w:val="003E1B32"/>
  </w:style>
  <w:style w:type="paragraph" w:styleId="TableofFigures">
    <w:name w:val="table of figures"/>
    <w:basedOn w:val="Normal"/>
    <w:next w:val="Normal"/>
    <w:semiHidden/>
    <w:rsid w:val="003E1B32"/>
    <w:pPr>
      <w:tabs>
        <w:tab w:val="right" w:leader="dot" w:pos="9072"/>
      </w:tabs>
      <w:ind w:left="970" w:hanging="403"/>
    </w:pPr>
    <w:rPr>
      <w:rFonts w:ascii="Times New Roman" w:hAnsi="Times New Roman"/>
      <w:b/>
    </w:rPr>
  </w:style>
  <w:style w:type="paragraph" w:styleId="ListNumber">
    <w:name w:val="List Number"/>
    <w:basedOn w:val="List"/>
    <w:rsid w:val="003E1B32"/>
    <w:pPr>
      <w:numPr>
        <w:numId w:val="9"/>
      </w:numPr>
    </w:pPr>
  </w:style>
  <w:style w:type="character" w:customStyle="1" w:styleId="WingdingSymbols">
    <w:name w:val="Wingding Symbols"/>
    <w:rsid w:val="003E1B32"/>
    <w:rPr>
      <w:rFonts w:ascii="Wingdings" w:hAnsi="Wingdings"/>
    </w:rPr>
  </w:style>
  <w:style w:type="paragraph" w:customStyle="1" w:styleId="TableHeading">
    <w:name w:val="Table Heading"/>
    <w:basedOn w:val="HeadingBase"/>
    <w:rsid w:val="003E1B32"/>
    <w:pPr>
      <w:keepLines/>
      <w:pBdr>
        <w:bottom w:val="single" w:sz="6" w:space="1" w:color="918585"/>
      </w:pBdr>
      <w:spacing w:before="240"/>
    </w:pPr>
  </w:style>
  <w:style w:type="character" w:customStyle="1" w:styleId="HotSpot">
    <w:name w:val="HotSpot"/>
    <w:rsid w:val="003E1B32"/>
    <w:rPr>
      <w:color w:val="0033CC"/>
      <w:u w:val="none"/>
    </w:rPr>
  </w:style>
  <w:style w:type="paragraph" w:customStyle="1" w:styleId="BodyTextRight">
    <w:name w:val="Body Text Right"/>
    <w:basedOn w:val="BodyText"/>
    <w:rsid w:val="003E1B32"/>
    <w:pPr>
      <w:spacing w:before="0" w:after="0"/>
      <w:jc w:val="right"/>
    </w:pPr>
  </w:style>
  <w:style w:type="paragraph" w:styleId="Index3">
    <w:name w:val="index 3"/>
    <w:basedOn w:val="ListNumber2"/>
    <w:next w:val="Normal"/>
    <w:semiHidden/>
    <w:rsid w:val="003E1B32"/>
    <w:pPr>
      <w:numPr>
        <w:numId w:val="0"/>
      </w:numPr>
      <w:tabs>
        <w:tab w:val="right" w:leader="dot" w:pos="4176"/>
      </w:tabs>
    </w:pPr>
  </w:style>
  <w:style w:type="paragraph" w:styleId="ListNumber2">
    <w:name w:val="List Number 2"/>
    <w:basedOn w:val="List2"/>
    <w:rsid w:val="003E1B32"/>
    <w:pPr>
      <w:numPr>
        <w:numId w:val="8"/>
      </w:numPr>
      <w:tabs>
        <w:tab w:val="clear" w:pos="1060"/>
      </w:tabs>
    </w:pPr>
  </w:style>
  <w:style w:type="paragraph" w:customStyle="1" w:styleId="MarginNote">
    <w:name w:val="Margin Note"/>
    <w:basedOn w:val="BodyText"/>
    <w:rsid w:val="003E1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B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1B32"/>
    <w:rPr>
      <w:sz w:val="32"/>
    </w:rPr>
  </w:style>
  <w:style w:type="paragraph" w:customStyle="1" w:styleId="HeadingProcedure">
    <w:name w:val="Heading Procedure"/>
    <w:basedOn w:val="HeadingBase"/>
    <w:next w:val="Normal"/>
    <w:rsid w:val="003E1B32"/>
    <w:pPr>
      <w:tabs>
        <w:tab w:val="left" w:pos="0"/>
      </w:tabs>
      <w:spacing w:before="120" w:after="60"/>
    </w:pPr>
    <w:rPr>
      <w:i/>
      <w:color w:val="918585"/>
      <w:sz w:val="22"/>
    </w:rPr>
  </w:style>
  <w:style w:type="paragraph" w:customStyle="1" w:styleId="TableBodyText">
    <w:name w:val="Table Body Text"/>
    <w:basedOn w:val="BodyText"/>
    <w:rsid w:val="003E1B32"/>
    <w:pPr>
      <w:spacing w:before="60" w:after="60"/>
    </w:pPr>
  </w:style>
  <w:style w:type="paragraph" w:styleId="ListContinue">
    <w:name w:val="List Continue"/>
    <w:basedOn w:val="List"/>
    <w:rsid w:val="003E1B32"/>
    <w:pPr>
      <w:ind w:firstLine="0"/>
    </w:pPr>
  </w:style>
  <w:style w:type="paragraph" w:customStyle="1" w:styleId="ListNote">
    <w:name w:val="List Note"/>
    <w:basedOn w:val="List"/>
    <w:rsid w:val="003E1B32"/>
    <w:pPr>
      <w:pBdr>
        <w:top w:val="single" w:sz="6" w:space="2" w:color="918585"/>
        <w:bottom w:val="single" w:sz="6" w:space="2" w:color="918585"/>
      </w:pBdr>
      <w:tabs>
        <w:tab w:val="left" w:pos="1021"/>
      </w:tabs>
      <w:ind w:firstLine="0"/>
    </w:pPr>
  </w:style>
  <w:style w:type="paragraph" w:customStyle="1" w:styleId="Warning">
    <w:name w:val="Warning"/>
    <w:basedOn w:val="BodyText"/>
    <w:rsid w:val="003E1B32"/>
    <w:pPr>
      <w:shd w:val="clear" w:color="auto" w:fill="D9D9D9"/>
      <w:tabs>
        <w:tab w:val="left" w:pos="992"/>
      </w:tabs>
      <w:ind w:left="119" w:right="119"/>
    </w:pPr>
    <w:rPr>
      <w:sz w:val="20"/>
    </w:rPr>
  </w:style>
  <w:style w:type="paragraph" w:customStyle="1" w:styleId="MarginIcons">
    <w:name w:val="Margin Icons"/>
    <w:basedOn w:val="BodyText"/>
    <w:rsid w:val="003E1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B32"/>
    <w:rPr>
      <w:rFonts w:ascii="Courier New" w:hAnsi="Courier New"/>
    </w:rPr>
  </w:style>
  <w:style w:type="paragraph" w:customStyle="1" w:styleId="NoteBullet">
    <w:name w:val="Note Bullet"/>
    <w:basedOn w:val="Note"/>
    <w:rsid w:val="003E1B32"/>
    <w:pPr>
      <w:tabs>
        <w:tab w:val="clear" w:pos="680"/>
      </w:tabs>
      <w:spacing w:before="60" w:after="60"/>
    </w:pPr>
  </w:style>
  <w:style w:type="paragraph" w:customStyle="1" w:styleId="SubHeading2">
    <w:name w:val="SubHeading2"/>
    <w:basedOn w:val="HeadingBase"/>
    <w:rsid w:val="003E1B32"/>
    <w:pPr>
      <w:spacing w:before="240" w:after="60"/>
    </w:pPr>
    <w:rPr>
      <w:sz w:val="20"/>
    </w:rPr>
  </w:style>
  <w:style w:type="paragraph" w:customStyle="1" w:styleId="SubHeading1">
    <w:name w:val="SubHeading1"/>
    <w:basedOn w:val="HeadingBase"/>
    <w:rsid w:val="003E1B32"/>
    <w:pPr>
      <w:spacing w:before="240" w:after="60"/>
    </w:pPr>
    <w:rPr>
      <w:color w:val="918585"/>
      <w:sz w:val="22"/>
    </w:rPr>
  </w:style>
  <w:style w:type="paragraph" w:customStyle="1" w:styleId="SideHeading">
    <w:name w:val="Side Heading"/>
    <w:basedOn w:val="HeadingBase"/>
    <w:rsid w:val="003E1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B32"/>
    <w:pPr>
      <w:numPr>
        <w:numId w:val="10"/>
      </w:numPr>
    </w:pPr>
  </w:style>
  <w:style w:type="paragraph" w:styleId="PlainText">
    <w:name w:val="Plain Text"/>
    <w:basedOn w:val="Normal"/>
    <w:link w:val="PlainTextChar"/>
    <w:rsid w:val="003E1B32"/>
    <w:rPr>
      <w:sz w:val="20"/>
    </w:rPr>
  </w:style>
  <w:style w:type="character" w:customStyle="1" w:styleId="PlainTextChar">
    <w:name w:val="Plain Text Char"/>
    <w:basedOn w:val="DefaultParagraphFont"/>
    <w:link w:val="PlainText"/>
    <w:rsid w:val="003E1B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1B32"/>
    <w:rPr>
      <w:b/>
      <w:smallCaps/>
    </w:rPr>
  </w:style>
  <w:style w:type="paragraph" w:customStyle="1" w:styleId="TableListNumber">
    <w:name w:val="Table List Number"/>
    <w:basedOn w:val="ListNumber"/>
    <w:rsid w:val="003E1B32"/>
    <w:pPr>
      <w:numPr>
        <w:numId w:val="0"/>
      </w:numPr>
    </w:pPr>
  </w:style>
  <w:style w:type="paragraph" w:styleId="TOC4">
    <w:name w:val="toc 4"/>
    <w:basedOn w:val="TOCBase"/>
    <w:next w:val="Normal"/>
    <w:semiHidden/>
    <w:rsid w:val="003E1B32"/>
    <w:pPr>
      <w:tabs>
        <w:tab w:val="right" w:leader="dot" w:pos="9071"/>
      </w:tabs>
      <w:ind w:left="1701"/>
    </w:pPr>
  </w:style>
  <w:style w:type="paragraph" w:customStyle="1" w:styleId="ListAlpha">
    <w:name w:val="List Alpha"/>
    <w:basedOn w:val="List"/>
    <w:rsid w:val="003E1B32"/>
    <w:pPr>
      <w:numPr>
        <w:numId w:val="7"/>
      </w:numPr>
    </w:pPr>
  </w:style>
  <w:style w:type="paragraph" w:customStyle="1" w:styleId="ListAlpha2">
    <w:name w:val="List Alpha 2"/>
    <w:basedOn w:val="List2"/>
    <w:rsid w:val="003E1B32"/>
    <w:pPr>
      <w:numPr>
        <w:numId w:val="6"/>
      </w:numPr>
    </w:pPr>
  </w:style>
  <w:style w:type="paragraph" w:styleId="List2">
    <w:name w:val="List 2"/>
    <w:basedOn w:val="BodyText"/>
    <w:rsid w:val="003E1B32"/>
    <w:pPr>
      <w:tabs>
        <w:tab w:val="left" w:pos="680"/>
      </w:tabs>
      <w:spacing w:before="60" w:after="60"/>
      <w:ind w:left="680" w:hanging="340"/>
    </w:pPr>
  </w:style>
  <w:style w:type="paragraph" w:styleId="List3">
    <w:name w:val="List 3"/>
    <w:basedOn w:val="BodyText"/>
    <w:rsid w:val="003E1B32"/>
    <w:pPr>
      <w:tabs>
        <w:tab w:val="left" w:pos="1021"/>
      </w:tabs>
      <w:spacing w:before="60" w:after="60"/>
      <w:ind w:left="1020" w:hanging="340"/>
    </w:pPr>
  </w:style>
  <w:style w:type="paragraph" w:styleId="List4">
    <w:name w:val="List 4"/>
    <w:basedOn w:val="BodyText"/>
    <w:rsid w:val="003E1B32"/>
    <w:pPr>
      <w:tabs>
        <w:tab w:val="left" w:pos="1361"/>
      </w:tabs>
      <w:spacing w:before="60" w:after="60"/>
      <w:ind w:left="1361" w:hanging="340"/>
    </w:pPr>
  </w:style>
  <w:style w:type="paragraph" w:styleId="List5">
    <w:name w:val="List 5"/>
    <w:basedOn w:val="BodyText"/>
    <w:rsid w:val="003E1B32"/>
    <w:pPr>
      <w:tabs>
        <w:tab w:val="left" w:pos="1701"/>
      </w:tabs>
      <w:spacing w:before="60" w:after="60"/>
      <w:ind w:left="1701" w:hanging="340"/>
    </w:pPr>
  </w:style>
  <w:style w:type="paragraph" w:styleId="ListBullet3">
    <w:name w:val="List Bullet 3"/>
    <w:basedOn w:val="List3"/>
    <w:rsid w:val="003E1B32"/>
    <w:pPr>
      <w:numPr>
        <w:numId w:val="13"/>
      </w:numPr>
      <w:tabs>
        <w:tab w:val="clear" w:pos="1021"/>
      </w:tabs>
      <w:ind w:left="1037" w:hanging="357"/>
    </w:pPr>
  </w:style>
  <w:style w:type="paragraph" w:styleId="ListBullet4">
    <w:name w:val="List Bullet 4"/>
    <w:basedOn w:val="List4"/>
    <w:rsid w:val="003E1B32"/>
    <w:pPr>
      <w:numPr>
        <w:numId w:val="1"/>
      </w:numPr>
    </w:pPr>
  </w:style>
  <w:style w:type="paragraph" w:styleId="ListBullet5">
    <w:name w:val="List Bullet 5"/>
    <w:basedOn w:val="List5"/>
    <w:rsid w:val="003E1B32"/>
    <w:pPr>
      <w:numPr>
        <w:numId w:val="2"/>
      </w:numPr>
    </w:pPr>
  </w:style>
  <w:style w:type="paragraph" w:styleId="ListContinue2">
    <w:name w:val="List Continue 2"/>
    <w:basedOn w:val="List2"/>
    <w:rsid w:val="003E1B32"/>
    <w:pPr>
      <w:ind w:firstLine="0"/>
    </w:pPr>
  </w:style>
  <w:style w:type="paragraph" w:styleId="ListContinue3">
    <w:name w:val="List Continue 3"/>
    <w:basedOn w:val="List3"/>
    <w:rsid w:val="003E1B32"/>
    <w:pPr>
      <w:ind w:left="1021" w:firstLine="0"/>
    </w:pPr>
  </w:style>
  <w:style w:type="paragraph" w:styleId="ListContinue4">
    <w:name w:val="List Continue 4"/>
    <w:basedOn w:val="List4"/>
    <w:rsid w:val="003E1B32"/>
    <w:pPr>
      <w:ind w:firstLine="0"/>
    </w:pPr>
  </w:style>
  <w:style w:type="paragraph" w:styleId="ListContinue5">
    <w:name w:val="List Continue 5"/>
    <w:basedOn w:val="List5"/>
    <w:rsid w:val="003E1B32"/>
    <w:pPr>
      <w:ind w:firstLine="0"/>
    </w:pPr>
  </w:style>
  <w:style w:type="paragraph" w:styleId="ListNumber3">
    <w:name w:val="List Number 3"/>
    <w:basedOn w:val="List3"/>
    <w:rsid w:val="003E1B32"/>
    <w:pPr>
      <w:numPr>
        <w:numId w:val="3"/>
      </w:numPr>
    </w:pPr>
  </w:style>
  <w:style w:type="paragraph" w:styleId="ListNumber4">
    <w:name w:val="List Number 4"/>
    <w:basedOn w:val="List4"/>
    <w:rsid w:val="003E1B32"/>
    <w:pPr>
      <w:numPr>
        <w:numId w:val="4"/>
      </w:numPr>
    </w:pPr>
  </w:style>
  <w:style w:type="paragraph" w:styleId="ListNumber5">
    <w:name w:val="List Number 5"/>
    <w:basedOn w:val="List5"/>
    <w:rsid w:val="003E1B32"/>
    <w:pPr>
      <w:numPr>
        <w:numId w:val="5"/>
      </w:numPr>
    </w:pPr>
  </w:style>
  <w:style w:type="paragraph" w:styleId="BlockText">
    <w:name w:val="Block Text"/>
    <w:basedOn w:val="Normal"/>
    <w:rsid w:val="003E1B32"/>
    <w:pPr>
      <w:spacing w:after="120"/>
      <w:ind w:left="1440" w:right="1440"/>
    </w:pPr>
  </w:style>
  <w:style w:type="character" w:customStyle="1" w:styleId="Subscript">
    <w:name w:val="Subscript"/>
    <w:basedOn w:val="DefaultParagraphFont"/>
    <w:rsid w:val="003E1B32"/>
    <w:rPr>
      <w:sz w:val="16"/>
      <w:vertAlign w:val="subscript"/>
    </w:rPr>
  </w:style>
  <w:style w:type="character" w:customStyle="1" w:styleId="Superscript">
    <w:name w:val="Superscript"/>
    <w:basedOn w:val="DefaultParagraphFont"/>
    <w:rsid w:val="003E1B32"/>
    <w:rPr>
      <w:sz w:val="16"/>
      <w:vertAlign w:val="superscript"/>
    </w:rPr>
  </w:style>
  <w:style w:type="character" w:customStyle="1" w:styleId="Symbols">
    <w:name w:val="Symbols"/>
    <w:basedOn w:val="DefaultParagraphFont"/>
    <w:rsid w:val="003E1B32"/>
    <w:rPr>
      <w:rFonts w:ascii="Symbol" w:hAnsi="Symbol"/>
    </w:rPr>
  </w:style>
  <w:style w:type="character" w:customStyle="1" w:styleId="MenuOptions">
    <w:name w:val="Menu Options"/>
    <w:basedOn w:val="DefaultParagraphFont"/>
    <w:rsid w:val="003E1B32"/>
    <w:rPr>
      <w:rFonts w:ascii="Arial Narrow" w:hAnsi="Arial Narrow"/>
      <w:smallCaps/>
    </w:rPr>
  </w:style>
  <w:style w:type="character" w:customStyle="1" w:styleId="Buttons">
    <w:name w:val="Buttons"/>
    <w:basedOn w:val="DefaultParagraphFont"/>
    <w:rsid w:val="003E1B32"/>
    <w:rPr>
      <w:b/>
    </w:rPr>
  </w:style>
  <w:style w:type="character" w:customStyle="1" w:styleId="Underlined">
    <w:name w:val="Underlined"/>
    <w:basedOn w:val="DefaultParagraphFont"/>
    <w:rsid w:val="003E1B32"/>
    <w:rPr>
      <w:u w:val="single"/>
    </w:rPr>
  </w:style>
  <w:style w:type="paragraph" w:customStyle="1" w:styleId="TableBodyTextRight">
    <w:name w:val="Table Body Text Right"/>
    <w:basedOn w:val="TableBodyText"/>
    <w:rsid w:val="003E1B32"/>
    <w:pPr>
      <w:widowControl w:val="0"/>
      <w:autoSpaceDE w:val="0"/>
      <w:autoSpaceDN w:val="0"/>
      <w:adjustRightInd w:val="0"/>
      <w:jc w:val="right"/>
    </w:pPr>
    <w:rPr>
      <w:rFonts w:cs="Arial"/>
      <w:szCs w:val="18"/>
    </w:rPr>
  </w:style>
  <w:style w:type="paragraph" w:customStyle="1" w:styleId="CopyrightText">
    <w:name w:val="Copyright Text"/>
    <w:basedOn w:val="BodyText"/>
    <w:rsid w:val="003E1B32"/>
    <w:rPr>
      <w:sz w:val="18"/>
    </w:rPr>
  </w:style>
  <w:style w:type="paragraph" w:customStyle="1" w:styleId="BodySmallRight">
    <w:name w:val="Body Small Right"/>
    <w:basedOn w:val="BodyTextRight"/>
    <w:rsid w:val="003E1B32"/>
    <w:rPr>
      <w:sz w:val="18"/>
      <w:szCs w:val="18"/>
    </w:rPr>
  </w:style>
  <w:style w:type="paragraph" w:customStyle="1" w:styleId="MarginEdition">
    <w:name w:val="Margin Edition"/>
    <w:basedOn w:val="MarginNote"/>
    <w:rsid w:val="003E1B32"/>
    <w:pPr>
      <w:spacing w:before="0" w:after="0"/>
    </w:pPr>
    <w:rPr>
      <w:rFonts w:ascii="Times New Roman" w:hAnsi="Times New Roman"/>
      <w:color w:val="999999"/>
    </w:rPr>
  </w:style>
  <w:style w:type="paragraph" w:customStyle="1" w:styleId="Spacer">
    <w:name w:val="Spacer"/>
    <w:basedOn w:val="Normal"/>
    <w:rsid w:val="003E1B32"/>
    <w:rPr>
      <w:sz w:val="2"/>
      <w:szCs w:val="2"/>
    </w:rPr>
  </w:style>
  <w:style w:type="character" w:customStyle="1" w:styleId="Small">
    <w:name w:val="Small"/>
    <w:basedOn w:val="DefaultParagraphFont"/>
    <w:rsid w:val="003E1B32"/>
    <w:rPr>
      <w:sz w:val="16"/>
    </w:rPr>
  </w:style>
  <w:style w:type="paragraph" w:customStyle="1" w:styleId="WideTable">
    <w:name w:val="Wide Table"/>
    <w:basedOn w:val="Normal"/>
    <w:rsid w:val="003E1B32"/>
    <w:pPr>
      <w:ind w:left="-1418"/>
    </w:pPr>
    <w:rPr>
      <w:sz w:val="2"/>
      <w:szCs w:val="2"/>
    </w:rPr>
  </w:style>
  <w:style w:type="character" w:styleId="PageNumber">
    <w:name w:val="page number"/>
    <w:basedOn w:val="DefaultParagraphFont"/>
    <w:rsid w:val="003E1B32"/>
  </w:style>
  <w:style w:type="paragraph" w:styleId="Quote">
    <w:name w:val="Quote"/>
    <w:basedOn w:val="Heading1"/>
    <w:link w:val="QuoteChar"/>
    <w:qFormat/>
    <w:rsid w:val="003E1B32"/>
    <w:rPr>
      <w:b w:val="0"/>
      <w:sz w:val="72"/>
      <w:szCs w:val="72"/>
      <w:lang w:val="en-NZ"/>
    </w:rPr>
  </w:style>
  <w:style w:type="character" w:customStyle="1" w:styleId="QuoteChar">
    <w:name w:val="Quote Char"/>
    <w:basedOn w:val="DefaultParagraphFont"/>
    <w:link w:val="Quote"/>
    <w:rsid w:val="003E1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B32"/>
    <w:pPr>
      <w:pageBreakBefore/>
    </w:pPr>
  </w:style>
  <w:style w:type="paragraph" w:customStyle="1" w:styleId="Border">
    <w:name w:val="Border"/>
    <w:basedOn w:val="Normal"/>
    <w:qFormat/>
    <w:rsid w:val="003E1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B32"/>
    <w:rPr>
      <w:b/>
      <w:bCs/>
      <w:i/>
      <w:iCs/>
      <w:color w:val="auto"/>
    </w:rPr>
  </w:style>
  <w:style w:type="paragraph" w:styleId="IntenseQuote">
    <w:name w:val="Intense Quote"/>
    <w:basedOn w:val="Normal"/>
    <w:next w:val="Normal"/>
    <w:link w:val="IntenseQuoteChar"/>
    <w:uiPriority w:val="30"/>
    <w:qFormat/>
    <w:rsid w:val="003E1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B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1B32"/>
    <w:rPr>
      <w:smallCaps/>
      <w:color w:val="auto"/>
      <w:u w:val="single"/>
    </w:rPr>
  </w:style>
  <w:style w:type="character" w:styleId="IntenseReference">
    <w:name w:val="Intense Reference"/>
    <w:basedOn w:val="DefaultParagraphFont"/>
    <w:uiPriority w:val="32"/>
    <w:qFormat/>
    <w:rsid w:val="003E1B32"/>
    <w:rPr>
      <w:b/>
      <w:bCs/>
      <w:smallCaps/>
      <w:color w:val="auto"/>
      <w:spacing w:val="5"/>
      <w:u w:val="single"/>
    </w:rPr>
  </w:style>
  <w:style w:type="paragraph" w:customStyle="1" w:styleId="2ColumnHeading">
    <w:name w:val="2Column Heading"/>
    <w:basedOn w:val="BodyText"/>
    <w:qFormat/>
    <w:rsid w:val="003E1B32"/>
    <w:pPr>
      <w:spacing w:after="60"/>
      <w:ind w:left="-2268"/>
    </w:pPr>
    <w:rPr>
      <w:b/>
    </w:rPr>
  </w:style>
  <w:style w:type="paragraph" w:customStyle="1" w:styleId="Heading1TOC">
    <w:name w:val="Heading1 TOC"/>
    <w:basedOn w:val="Normal"/>
    <w:qFormat/>
    <w:rsid w:val="003E1B32"/>
    <w:pPr>
      <w:spacing w:before="240" w:after="120"/>
    </w:pPr>
    <w:rPr>
      <w:rFonts w:ascii="Times New Roman" w:hAnsi="Times New Roman"/>
      <w:b/>
      <w:sz w:val="32"/>
    </w:rPr>
  </w:style>
  <w:style w:type="paragraph" w:customStyle="1" w:styleId="Heading2TOC">
    <w:name w:val="Heading2 TOC"/>
    <w:basedOn w:val="Normal"/>
    <w:qFormat/>
    <w:rsid w:val="003E1B32"/>
    <w:pPr>
      <w:spacing w:before="240" w:after="60"/>
    </w:pPr>
    <w:rPr>
      <w:rFonts w:ascii="Times New Roman" w:hAnsi="Times New Roman"/>
      <w:b/>
      <w:sz w:val="28"/>
    </w:rPr>
  </w:style>
  <w:style w:type="character" w:customStyle="1" w:styleId="Underline">
    <w:name w:val="Underline"/>
    <w:basedOn w:val="DefaultParagraphFont"/>
    <w:qFormat/>
    <w:rsid w:val="003E1B32"/>
    <w:rPr>
      <w:u w:val="single"/>
    </w:rPr>
  </w:style>
  <w:style w:type="character" w:customStyle="1" w:styleId="BoldandItalics">
    <w:name w:val="Bold and Italics"/>
    <w:qFormat/>
    <w:rsid w:val="003E1B32"/>
    <w:rPr>
      <w:b/>
      <w:i/>
      <w:u w:val="none"/>
    </w:rPr>
  </w:style>
  <w:style w:type="paragraph" w:styleId="BalloonText">
    <w:name w:val="Balloon Text"/>
    <w:basedOn w:val="Normal"/>
    <w:link w:val="BalloonTextChar"/>
    <w:rsid w:val="003E1B32"/>
    <w:rPr>
      <w:rFonts w:ascii="Tahoma" w:hAnsi="Tahoma" w:cs="Tahoma"/>
      <w:sz w:val="16"/>
      <w:szCs w:val="16"/>
    </w:rPr>
  </w:style>
  <w:style w:type="character" w:customStyle="1" w:styleId="BalloonTextChar">
    <w:name w:val="Balloon Text Char"/>
    <w:basedOn w:val="DefaultParagraphFont"/>
    <w:link w:val="BalloonText"/>
    <w:rsid w:val="003E1B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1B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B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957</Words>
  <Characters>5749</Characters>
  <Application>Microsoft Office Word</Application>
  <DocSecurity>0</DocSecurity>
  <Lines>238</Lines>
  <Paragraphs>132</Paragraphs>
  <ScaleCrop>false</ScaleCrop>
  <Company>Author-it Software Corporation Ltd.</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AURC463238A Manage complex customer issues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2012-05-26T04:40:00Z</dcterms:created>
  <dcterms:modified xsi:type="dcterms:W3CDTF">2012-05-26T04:41:00Z</dcterms:modified>
</cp:coreProperties>
</file>