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C45" w:rsidP="00BC2C45">
      <w:pPr>
        <w:pStyle w:val="Title"/>
      </w:pPr>
      <w:r>
        <w:fldChar w:fldCharType="begin"/>
      </w:r>
      <w:r>
        <w:instrText xml:space="preserve"> TITLE   \* MERGEFORMAT </w:instrText>
      </w:r>
      <w:r>
        <w:fldChar w:fldCharType="separate"/>
      </w:r>
      <w:r>
        <w:t>AURRTR3002 Install marine electronic systems and components</w:t>
      </w:r>
      <w:r>
        <w:fldChar w:fldCharType="end"/>
      </w:r>
    </w:p>
    <w:p w:rsidR="00BC2C45" w:rsidP="00BC2C45">
      <w:pPr>
        <w:pStyle w:val="Version"/>
        <w:sectPr w:rsidSect="005C1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EF6" w:rsidP="005C1EF6">
      <w:pPr>
        <w:pStyle w:val="SuperHeading"/>
      </w:pPr>
      <w:r w:rsidRPr="005C1EF6">
        <w:t>AURRTR3002 Install marine electronic systems and components</w:t>
      </w:r>
    </w:p>
    <w:p w:rsidR="00000000" w:rsidRPr="005C1EF6" w:rsidP="005C1EF6">
      <w:pPr>
        <w:pStyle w:val="Heading1"/>
      </w:pPr>
      <w:bookmarkStart w:id="1" w:name="O_484740"/>
      <w:bookmarkEnd w:id="1"/>
      <w:r w:rsidRPr="005C1EF6">
        <w:t>Modification History</w:t>
      </w:r>
    </w:p>
    <w:tbl>
      <w:tblPr>
        <w:tblW w:w="9637" w:type="dxa"/>
        <w:tblLayout w:type="fixed"/>
        <w:tblCellMar>
          <w:left w:w="62" w:type="dxa"/>
          <w:right w:w="62" w:type="dxa"/>
        </w:tblCellMar>
        <w:tblLook w:val="0000"/>
      </w:tblPr>
      <w:tblGrid>
        <w:gridCol w:w="2976"/>
        <w:gridCol w:w="6661"/>
      </w:tblGrid>
      <w:tr w:rsidTr="00BC2C4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Comment</w:t>
            </w:r>
          </w:p>
        </w:tc>
      </w:tr>
      <w:tr w:rsidTr="00BC2C4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Replaces AURE321831B Install marine electronic systems and components</w:t>
            </w:r>
          </w:p>
          <w:p w:rsidR="00000000" w:rsidRPr="005C1EF6" w:rsidP="005C1EF6">
            <w:pPr>
              <w:pStyle w:val="BodyText"/>
            </w:pPr>
            <w:r w:rsidRPr="005C1EF6">
              <w:t>Unit code updated to meet policy requirements</w:t>
            </w:r>
          </w:p>
          <w:p w:rsidR="00000000" w:rsidRPr="005C1EF6" w:rsidP="005C1EF6">
            <w:pPr>
              <w:pStyle w:val="BodyText"/>
            </w:pPr>
            <w:r w:rsidRPr="005C1EF6">
              <w:t>Reference to OHS legislation replaced with new WHS legislation</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2" w:name="O_484738"/>
      <w:bookmarkEnd w:id="2"/>
      <w:r w:rsidRPr="005C1EF6">
        <w:t>Unit Descriptor</w:t>
      </w:r>
    </w:p>
    <w:tbl>
      <w:tblPr>
        <w:tblW w:w="0" w:type="auto"/>
        <w:tblLayout w:type="fixed"/>
        <w:tblCellMar>
          <w:left w:w="62" w:type="dxa"/>
          <w:right w:w="62" w:type="dxa"/>
        </w:tblCellMar>
        <w:tblLook w:val="0000"/>
      </w:tblPr>
      <w:tblGrid>
        <w:gridCol w:w="2662"/>
        <w:gridCol w:w="5860"/>
      </w:tblGrid>
      <w:tr w:rsidTr="00BC2C4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This unit of competency describes the skills and knowledge required to carry out the installation of marine low voltage electronic systems and components, including global positioning systems (GPS), depth sounders, fis</w:t>
            </w:r>
            <w:r w:rsidRPr="005C1EF6">
              <w:t>h finders, communications equipment and radar.</w:t>
            </w:r>
          </w:p>
          <w:p w:rsidR="00000000" w:rsidRPr="005C1EF6" w:rsidP="005C1EF6">
            <w:pPr>
              <w:pStyle w:val="BodyText"/>
            </w:pPr>
            <w:r w:rsidRPr="005C1EF6">
              <w:t>It requires the ability to identify and confirm work requirements, prepare for, install and test marine low voltage electronic systems and components and complete work finalisation processes.</w:t>
            </w:r>
          </w:p>
          <w:p w:rsidR="00000000" w:rsidRPr="005C1EF6" w:rsidP="005C1EF6">
            <w:pPr>
              <w:pStyle w:val="BodyText"/>
            </w:pPr>
            <w:r w:rsidRPr="005C1EF6">
              <w:t xml:space="preserve">No licensing, legislative, regulatory or certification requirements apply to this unit at the time of publication. </w:t>
            </w:r>
          </w:p>
        </w:tc>
      </w:tr>
    </w:tbl>
    <w:p w:rsidR="00BC2C45" w:rsidP="005C1EF6">
      <w:pPr>
        <w:pStyle w:val="BodyText"/>
      </w:pPr>
    </w:p>
    <w:p w:rsidR="00BC2C45" w:rsidP="005C1EF6">
      <w:pPr>
        <w:pStyle w:val="BodyText"/>
      </w:pPr>
    </w:p>
    <w:p w:rsidR="00000000" w:rsidRPr="005C1EF6" w:rsidP="005C1EF6">
      <w:pPr>
        <w:pStyle w:val="Heading1"/>
      </w:pPr>
      <w:bookmarkStart w:id="3" w:name="O_484726"/>
      <w:bookmarkEnd w:id="3"/>
      <w:r w:rsidRPr="005C1EF6">
        <w:t>Application of the Unit</w:t>
      </w:r>
    </w:p>
    <w:tbl>
      <w:tblPr>
        <w:tblW w:w="0" w:type="auto"/>
        <w:tblLayout w:type="fixed"/>
        <w:tblCellMar>
          <w:left w:w="62" w:type="dxa"/>
          <w:right w:w="62" w:type="dxa"/>
        </w:tblCellMar>
        <w:tblLook w:val="0000"/>
      </w:tblPr>
      <w:tblGrid>
        <w:gridCol w:w="2754"/>
        <w:gridCol w:w="5768"/>
      </w:tblGrid>
      <w:tr w:rsidTr="00BC2C4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This unit applies to individuals who undertake the installation of marin</w:t>
            </w:r>
            <w:r w:rsidRPr="005C1EF6">
              <w:t xml:space="preserve">e low voltage electronic systems and components in a marine environment. </w:t>
            </w:r>
          </w:p>
        </w:tc>
      </w:tr>
    </w:tbl>
    <w:p w:rsidR="00BC2C45" w:rsidP="005C1EF6">
      <w:pPr>
        <w:pStyle w:val="BodyText"/>
      </w:pPr>
    </w:p>
    <w:p w:rsidR="00BC2C45" w:rsidP="005C1EF6">
      <w:pPr>
        <w:pStyle w:val="BodyText"/>
      </w:pPr>
    </w:p>
    <w:p w:rsidR="00000000" w:rsidRPr="005C1EF6" w:rsidP="005C1EF6">
      <w:pPr>
        <w:pStyle w:val="Heading1"/>
      </w:pPr>
      <w:bookmarkStart w:id="4" w:name="O_484734"/>
      <w:bookmarkEnd w:id="4"/>
      <w:r w:rsidRPr="005C1EF6">
        <w:t>Licensing/Regulatory Information</w:t>
      </w:r>
    </w:p>
    <w:p w:rsidR="00000000" w:rsidRPr="005C1EF6" w:rsidP="005C1EF6">
      <w:pPr>
        <w:pStyle w:val="BodyText"/>
      </w:pPr>
      <w:r w:rsidRPr="005C1EF6">
        <w:t>Not applicable.</w:t>
      </w:r>
    </w:p>
    <w:p w:rsidR="00000000" w:rsidRPr="005C1EF6" w:rsidP="005C1EF6">
      <w:pPr>
        <w:pStyle w:val="AllowPageBreak"/>
      </w:pPr>
    </w:p>
    <w:p w:rsidR="00000000" w:rsidRPr="005C1EF6" w:rsidP="005C1EF6">
      <w:pPr>
        <w:pStyle w:val="Heading1"/>
      </w:pPr>
      <w:bookmarkStart w:id="5" w:name="O_484735"/>
      <w:bookmarkEnd w:id="5"/>
      <w:r w:rsidRPr="005C1EF6">
        <w:t>Pre-Requisites</w:t>
      </w:r>
    </w:p>
    <w:p w:rsidR="00000000" w:rsidRPr="005C1EF6" w:rsidP="005C1EF6">
      <w:pPr>
        <w:pStyle w:val="BodyText"/>
      </w:pPr>
      <w:r w:rsidRPr="005C1EF6">
        <w:t>Not applicable.</w:t>
      </w:r>
    </w:p>
    <w:p w:rsidR="00000000" w:rsidRPr="005C1EF6" w:rsidP="005C1EF6">
      <w:pPr>
        <w:pStyle w:val="AllowPageBreak"/>
      </w:pPr>
    </w:p>
    <w:p w:rsidR="00000000" w:rsidRPr="005C1EF6" w:rsidP="005C1EF6">
      <w:pPr>
        <w:pStyle w:val="Heading1"/>
      </w:pPr>
      <w:bookmarkStart w:id="6" w:name="O_484731"/>
      <w:bookmarkEnd w:id="6"/>
      <w:r w:rsidRPr="005C1EF6">
        <w:t>Employability Skills Information</w:t>
      </w:r>
    </w:p>
    <w:tbl>
      <w:tblPr>
        <w:tblW w:w="0" w:type="auto"/>
        <w:tblLayout w:type="fixed"/>
        <w:tblCellMar>
          <w:left w:w="62" w:type="dxa"/>
          <w:right w:w="62" w:type="dxa"/>
        </w:tblCellMar>
        <w:tblLook w:val="0000"/>
      </w:tblPr>
      <w:tblGrid>
        <w:gridCol w:w="2802"/>
        <w:gridCol w:w="5720"/>
      </w:tblGrid>
      <w:tr w:rsidTr="00BC2C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This unit contains employability skills.</w:t>
            </w:r>
          </w:p>
        </w:tc>
      </w:tr>
    </w:tbl>
    <w:p w:rsidR="00BC2C45" w:rsidP="005C1EF6">
      <w:pPr>
        <w:pStyle w:val="BodyText"/>
      </w:pPr>
    </w:p>
    <w:p w:rsidR="00BC2C45" w:rsidP="005C1EF6">
      <w:pPr>
        <w:pStyle w:val="BodyText"/>
      </w:pPr>
    </w:p>
    <w:p w:rsidR="00000000" w:rsidRPr="005C1EF6" w:rsidP="005C1EF6">
      <w:pPr>
        <w:pStyle w:val="Heading1"/>
      </w:pPr>
      <w:bookmarkStart w:id="7" w:name="O_484730"/>
      <w:bookmarkEnd w:id="7"/>
      <w:r w:rsidRPr="005C1EF6">
        <w:t>Elements and Performance Criteria Pre-Content</w:t>
      </w:r>
    </w:p>
    <w:tbl>
      <w:tblPr>
        <w:tblW w:w="0" w:type="auto"/>
        <w:tblLayout w:type="fixed"/>
        <w:tblCellMar>
          <w:left w:w="62" w:type="dxa"/>
          <w:right w:w="62" w:type="dxa"/>
        </w:tblCellMar>
        <w:tblLook w:val="0000"/>
      </w:tblPr>
      <w:tblGrid>
        <w:gridCol w:w="2555"/>
        <w:gridCol w:w="5967"/>
      </w:tblGrid>
      <w:tr w:rsidTr="00BC2C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Performance criteria describe the performance needed to demons</w:t>
            </w:r>
            <w:r w:rsidRPr="005C1EF6">
              <w:t>trate achievement of the element. Assessment of performance is to be consistent with the evidence guide.</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8" w:name="O_484729"/>
      <w:bookmarkEnd w:id="8"/>
      <w:r w:rsidRPr="005C1EF6">
        <w:t>Elements and Performance Criteria</w:t>
      </w:r>
    </w:p>
    <w:tbl>
      <w:tblPr>
        <w:tblW w:w="0" w:type="auto"/>
        <w:tblLayout w:type="fixed"/>
        <w:tblCellMar>
          <w:left w:w="62" w:type="dxa"/>
          <w:right w:w="62" w:type="dxa"/>
        </w:tblCellMar>
        <w:tblLook w:val="0000"/>
      </w:tblPr>
      <w:tblGrid>
        <w:gridCol w:w="2555"/>
        <w:gridCol w:w="5967"/>
      </w:tblGrid>
      <w:tr w:rsidTr="00BC2C4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PERFORMANCE CRITERIA</w:t>
            </w:r>
          </w:p>
        </w:tc>
      </w:tr>
      <w:tr w:rsidTr="00BC2C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List"/>
              <w:rPr>
                <w:lang w:val="en-NZ"/>
              </w:rPr>
            </w:pPr>
            <w:r w:rsidRPr="005C1EF6">
              <w:t>1.</w:t>
            </w:r>
            <w:r w:rsidRPr="005C1EF6">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List2"/>
            </w:pPr>
            <w:r w:rsidRPr="005C1EF6">
              <w:t>1.1.</w:t>
            </w:r>
            <w:r w:rsidRPr="005C1EF6">
              <w:tab/>
            </w:r>
            <w:r w:rsidRPr="005C1EF6">
              <w:t xml:space="preserve">Confirm nature and scope of work to be carried out </w:t>
            </w:r>
          </w:p>
          <w:p w:rsidR="00000000" w:rsidRPr="005C1EF6" w:rsidP="005C1EF6">
            <w:pPr>
              <w:pStyle w:val="List2"/>
            </w:pPr>
            <w:r w:rsidRPr="005C1EF6">
              <w:t>1.2.</w:t>
            </w:r>
            <w:r w:rsidRPr="005C1EF6">
              <w:tab/>
              <w:t>Locate workplace health and safety (WHS) and workplace environmental and sustainable procedures and practices applicable to the work</w:t>
            </w:r>
          </w:p>
          <w:p w:rsidR="00000000" w:rsidRPr="005C1EF6" w:rsidP="005C1EF6">
            <w:pPr>
              <w:pStyle w:val="List2"/>
            </w:pPr>
            <w:r w:rsidRPr="005C1EF6">
              <w:t>1.3.</w:t>
            </w:r>
            <w:r w:rsidRPr="005C1EF6">
              <w:tab/>
              <w:t xml:space="preserve">Source installation procedures and relevant workshop manuals </w:t>
            </w:r>
            <w:r w:rsidRPr="005C1EF6">
              <w:t>and manufacturer information</w:t>
            </w:r>
          </w:p>
          <w:p w:rsidR="00000000" w:rsidRPr="005C1EF6" w:rsidP="005C1EF6">
            <w:pPr>
              <w:pStyle w:val="List2"/>
            </w:pPr>
            <w:r w:rsidRPr="005C1EF6">
              <w:t>1.4.</w:t>
            </w:r>
            <w:r w:rsidRPr="005C1EF6">
              <w:tab/>
              <w:t>Determine installation method in accordance with WHS, environmental and industry regulations, and guidelines and enterprise procedures</w:t>
            </w:r>
          </w:p>
          <w:p w:rsidR="00000000" w:rsidP="005C1EF6">
            <w:pPr>
              <w:pStyle w:val="List2"/>
              <w:rPr>
                <w:lang w:val="en-NZ"/>
              </w:rPr>
            </w:pPr>
            <w:r w:rsidRPr="005C1EF6">
              <w:t>1.5.</w:t>
            </w:r>
            <w:r w:rsidRPr="005C1EF6">
              <w:tab/>
              <w:t>Set up work area</w:t>
            </w:r>
          </w:p>
        </w:tc>
      </w:tr>
      <w:tr w:rsidTr="00BC2C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List"/>
              <w:rPr>
                <w:lang w:val="en-NZ"/>
              </w:rPr>
            </w:pPr>
            <w:r w:rsidRPr="005C1EF6">
              <w:t>2.</w:t>
            </w:r>
            <w:r w:rsidRPr="005C1EF6">
              <w:tab/>
              <w:t>Install marine electronic systems and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List2"/>
            </w:pPr>
            <w:r w:rsidRPr="005C1EF6">
              <w:t>2.1.</w:t>
            </w:r>
            <w:r w:rsidRPr="005C1EF6">
              <w:tab/>
            </w:r>
            <w:r w:rsidRPr="005C1EF6">
              <w:t xml:space="preserve">Carry out marine electronic systems and components installation in accordance with manufacturer and component supplier specifications, and WHS and workplace environmental and sustainable procedures and practices </w:t>
            </w:r>
          </w:p>
          <w:p w:rsidR="00000000" w:rsidRPr="005C1EF6" w:rsidP="005C1EF6">
            <w:pPr>
              <w:pStyle w:val="List2"/>
            </w:pPr>
            <w:r w:rsidRPr="005C1EF6">
              <w:t>2.2.</w:t>
            </w:r>
            <w:r w:rsidRPr="005C1EF6">
              <w:tab/>
              <w:t>Conduct pre-start checks, make require</w:t>
            </w:r>
            <w:r w:rsidRPr="005C1EF6">
              <w:t xml:space="preserve">d adjustments and re-test </w:t>
            </w:r>
          </w:p>
          <w:p w:rsidR="00000000" w:rsidP="005C1EF6">
            <w:pPr>
              <w:pStyle w:val="List2"/>
              <w:rPr>
                <w:lang w:val="en-NZ"/>
              </w:rPr>
            </w:pPr>
            <w:r w:rsidRPr="005C1EF6">
              <w:t>2.3.</w:t>
            </w:r>
            <w:r w:rsidRPr="005C1EF6">
              <w:tab/>
              <w:t>Determine the need for water testing</w:t>
            </w:r>
          </w:p>
        </w:tc>
      </w:tr>
      <w:tr w:rsidTr="00BC2C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List"/>
              <w:rPr>
                <w:lang w:val="en-NZ"/>
              </w:rPr>
            </w:pPr>
            <w:r w:rsidRPr="005C1EF6">
              <w:t>3.</w:t>
            </w:r>
            <w:r w:rsidRPr="005C1EF6">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List2"/>
            </w:pPr>
            <w:r w:rsidRPr="005C1EF6">
              <w:t>3.1.</w:t>
            </w:r>
            <w:r w:rsidRPr="005C1EF6">
              <w:tab/>
              <w:t>Make final inspection of electronic systems</w:t>
            </w:r>
          </w:p>
          <w:p w:rsidR="00000000" w:rsidRPr="005C1EF6" w:rsidP="005C1EF6">
            <w:pPr>
              <w:pStyle w:val="List2"/>
            </w:pPr>
            <w:r w:rsidRPr="005C1EF6">
              <w:t>3.2.</w:t>
            </w:r>
            <w:r w:rsidRPr="005C1EF6">
              <w:tab/>
              <w:t xml:space="preserve">Clean and inspect equipment and tooling according to workplace requirements </w:t>
            </w:r>
          </w:p>
          <w:p w:rsidR="00000000" w:rsidRPr="005C1EF6" w:rsidP="005C1EF6">
            <w:pPr>
              <w:pStyle w:val="List2"/>
            </w:pPr>
            <w:r w:rsidRPr="005C1EF6">
              <w:t>3.3.</w:t>
            </w:r>
            <w:r w:rsidRPr="005C1EF6">
              <w:tab/>
              <w:t>Tag u</w:t>
            </w:r>
            <w:r w:rsidRPr="005C1EF6">
              <w:t>nserviceable equipment and faults identified in accordance with workplace requirements</w:t>
            </w:r>
          </w:p>
          <w:p w:rsidR="00000000" w:rsidRPr="005C1EF6" w:rsidP="005C1EF6">
            <w:pPr>
              <w:pStyle w:val="List2"/>
            </w:pPr>
            <w:r w:rsidRPr="005C1EF6">
              <w:t>3.4.</w:t>
            </w:r>
            <w:r w:rsidRPr="005C1EF6">
              <w:tab/>
              <w:t>Finalise and process work completion documentation, update customer and warranty information and give to appropriate persons, as required</w:t>
            </w:r>
          </w:p>
          <w:p w:rsidR="00000000" w:rsidRPr="005C1EF6" w:rsidP="005C1EF6">
            <w:pPr>
              <w:pStyle w:val="List2"/>
            </w:pPr>
            <w:r w:rsidRPr="005C1EF6">
              <w:t>3.5.</w:t>
            </w:r>
            <w:r w:rsidRPr="005C1EF6">
              <w:tab/>
              <w:t>Clean work area, disp</w:t>
            </w:r>
            <w:r w:rsidRPr="005C1EF6">
              <w:t>ose of waste and scrap, and store tools and equipment in accordance with workplace procedures</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9" w:name="O_484737"/>
      <w:bookmarkEnd w:id="9"/>
      <w:r w:rsidRPr="005C1EF6">
        <w:t>Required Skills and Knowledge</w:t>
      </w:r>
    </w:p>
    <w:tbl>
      <w:tblPr>
        <w:tblW w:w="0" w:type="auto"/>
        <w:tblLayout w:type="fixed"/>
        <w:tblCellMar>
          <w:left w:w="62" w:type="dxa"/>
          <w:right w:w="62" w:type="dxa"/>
        </w:tblCellMar>
        <w:tblLook w:val="0000"/>
      </w:tblPr>
      <w:tblGrid>
        <w:gridCol w:w="8522"/>
      </w:tblGrid>
      <w:tr w:rsidTr="00BC2C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REQUIRED SKILLS AND KNOWLEDGE</w:t>
            </w:r>
          </w:p>
        </w:tc>
      </w:tr>
      <w:tr w:rsidTr="00BC2C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This section describes the skills and knowledge required for this unit.</w:t>
            </w:r>
          </w:p>
        </w:tc>
      </w:tr>
      <w:tr w:rsidTr="00BC2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Required skills</w:t>
            </w:r>
          </w:p>
        </w:tc>
      </w:tr>
      <w:tr w:rsidTr="00BC2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Required skills include:</w:t>
            </w:r>
          </w:p>
          <w:p w:rsidR="00000000" w:rsidRPr="005C1EF6" w:rsidP="005C1EF6">
            <w:pPr>
              <w:pStyle w:val="ListBullet"/>
            </w:pPr>
            <w:r w:rsidRPr="005C1EF6">
              <w:t>technical skills to the level required to use workplace technology related to the installation and testing of marine electronic systems and components, to use specialist tooling and equipment and computerised meas</w:t>
            </w:r>
            <w:r w:rsidRPr="005C1EF6">
              <w:t xml:space="preserve">uring equipment, and to report and record actions </w:t>
            </w:r>
          </w:p>
          <w:p w:rsidR="00000000" w:rsidRPr="005C1EF6" w:rsidP="005C1EF6">
            <w:pPr>
              <w:pStyle w:val="ListBullet"/>
            </w:pPr>
            <w:r w:rsidRPr="005C1EF6">
              <w:t xml:space="preserve">communication skills to the level required to confirm work requirements and electrical circuit and component installation procedures and specifications, to communicate effectively regarding work requirements with supervisor, other workers and customer, to </w:t>
            </w:r>
            <w:r w:rsidRPr="005C1EF6">
              <w:t>relate to people from a range of social, cultural and ethnic backgrounds and of varying physical and mental abilities, and to report work outcomes and problems</w:t>
            </w:r>
          </w:p>
          <w:p w:rsidR="00000000" w:rsidRPr="005C1EF6" w:rsidP="005C1EF6">
            <w:pPr>
              <w:pStyle w:val="ListBullet"/>
            </w:pPr>
            <w:r w:rsidRPr="005C1EF6">
              <w:t>literacy skills to the level required to understand information related to work orders, includin</w:t>
            </w:r>
            <w:r w:rsidRPr="005C1EF6">
              <w:t>g common industry terminology and safety procedures, procedures for circuit and component testing, major repairs, installation and component replacement, and to record servicing details</w:t>
            </w:r>
          </w:p>
          <w:p w:rsidR="00000000" w:rsidRPr="005C1EF6" w:rsidP="005C1EF6">
            <w:pPr>
              <w:pStyle w:val="ListBullet"/>
            </w:pPr>
            <w:r w:rsidRPr="005C1EF6">
              <w:t xml:space="preserve">numeracy skills to the level required to correctly complete tests and </w:t>
            </w:r>
            <w:r w:rsidRPr="005C1EF6">
              <w:t>measurements to determine electrical circuit and component installation requirements</w:t>
            </w:r>
          </w:p>
          <w:p w:rsidR="00000000" w:rsidRPr="005C1EF6" w:rsidP="005C1EF6">
            <w:pPr>
              <w:pStyle w:val="ListBullet"/>
            </w:pPr>
            <w:r w:rsidRPr="005C1EF6">
              <w:t>problem-solving skills to the level required to identify technical and procedural problems to avoid planning and scheduling problems, and time and material wastage</w:t>
            </w:r>
          </w:p>
          <w:p w:rsidR="00000000" w:rsidP="005C1EF6">
            <w:pPr>
              <w:pStyle w:val="ListBullet"/>
              <w:rPr>
                <w:lang w:val="en-NZ"/>
              </w:rPr>
            </w:pPr>
            <w:r w:rsidRPr="005C1EF6">
              <w:t>team sk</w:t>
            </w:r>
            <w:r w:rsidRPr="005C1EF6">
              <w:t>ills to the level required to work effectively and cooperatively with others to optimise workflow and productivity</w:t>
            </w:r>
          </w:p>
        </w:tc>
      </w:tr>
      <w:tr w:rsidTr="00BC2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Required knowledge</w:t>
            </w:r>
          </w:p>
        </w:tc>
      </w:tr>
      <w:tr w:rsidTr="00BC2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Required knowledge includes:</w:t>
            </w:r>
          </w:p>
          <w:p w:rsidR="00000000" w:rsidRPr="005C1EF6" w:rsidP="005C1EF6">
            <w:pPr>
              <w:pStyle w:val="ListBullet"/>
            </w:pPr>
            <w:r w:rsidRPr="005C1EF6">
              <w:t>the principles of electronics</w:t>
            </w:r>
          </w:p>
          <w:p w:rsidR="00000000" w:rsidRPr="005C1EF6" w:rsidP="005C1EF6">
            <w:pPr>
              <w:pStyle w:val="ListBullet"/>
            </w:pPr>
            <w:r w:rsidRPr="005C1EF6">
              <w:t>the principles of interference suppression</w:t>
            </w:r>
          </w:p>
          <w:p w:rsidR="00000000" w:rsidRPr="005C1EF6" w:rsidP="005C1EF6">
            <w:pPr>
              <w:pStyle w:val="ListBullet"/>
            </w:pPr>
            <w:r w:rsidRPr="005C1EF6">
              <w:t>procedures for th</w:t>
            </w:r>
            <w:r w:rsidRPr="005C1EF6">
              <w:t>e installation of marine electronic systems and components</w:t>
            </w:r>
          </w:p>
          <w:p w:rsidR="00000000" w:rsidRPr="005C1EF6" w:rsidP="005C1EF6">
            <w:pPr>
              <w:pStyle w:val="ListBullet"/>
            </w:pPr>
            <w:r w:rsidRPr="005C1EF6">
              <w:t>wiring diagram interpretation</w:t>
            </w:r>
          </w:p>
          <w:p w:rsidR="00000000" w:rsidRPr="005C1EF6" w:rsidP="005C1EF6">
            <w:pPr>
              <w:pStyle w:val="ListBullet"/>
            </w:pPr>
            <w:r w:rsidRPr="005C1EF6">
              <w:t>measuring and testing procedures</w:t>
            </w:r>
          </w:p>
          <w:p w:rsidR="00000000" w:rsidRPr="005C1EF6" w:rsidP="005C1EF6">
            <w:pPr>
              <w:pStyle w:val="ListBullet"/>
            </w:pPr>
            <w:r w:rsidRPr="005C1EF6">
              <w:t>manufacturer and component supplier specifications and procedures, including workshop manuals and repair guides</w:t>
            </w:r>
          </w:p>
          <w:p w:rsidR="00000000" w:rsidRPr="005C1EF6" w:rsidP="005C1EF6">
            <w:pPr>
              <w:pStyle w:val="ListBullet"/>
            </w:pPr>
            <w:r w:rsidRPr="005C1EF6">
              <w:t>applicable commonwealth, state or territory legislation, regulations, standards and codes of practice, including WHS, personal safety and environment, relevant to installing marine electronic systems</w:t>
            </w:r>
          </w:p>
          <w:p w:rsidR="00000000" w:rsidRPr="005C1EF6" w:rsidP="005C1EF6">
            <w:pPr>
              <w:pStyle w:val="ListBullet"/>
            </w:pPr>
            <w:r w:rsidRPr="005C1EF6">
              <w:t>organisational policies and procedures, including qualit</w:t>
            </w:r>
            <w:r w:rsidRPr="005C1EF6">
              <w:t xml:space="preserve">y, reporting and recording procedures, related to installing marine electronic systems </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10" w:name="O_484732"/>
      <w:bookmarkEnd w:id="10"/>
      <w:r w:rsidRPr="005C1EF6">
        <w:t>Evidence Guide</w:t>
      </w:r>
    </w:p>
    <w:tbl>
      <w:tblPr>
        <w:tblW w:w="9570" w:type="dxa"/>
        <w:tblLayout w:type="fixed"/>
        <w:tblCellMar>
          <w:left w:w="62" w:type="dxa"/>
          <w:right w:w="62" w:type="dxa"/>
        </w:tblCellMar>
        <w:tblLook w:val="0000"/>
      </w:tblPr>
      <w:tblGrid>
        <w:gridCol w:w="3908"/>
        <w:gridCol w:w="5662"/>
      </w:tblGrid>
      <w:tr w:rsidTr="00BC2C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EVIDENCE GUIDE</w:t>
            </w:r>
          </w:p>
        </w:tc>
      </w:tr>
      <w:tr w:rsidTr="00BC2C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The evidence guide provides advice on assessment and must be read in conjunction with the performance criteria, required skills and knowledge, range statement and the Assessment Guidelines for the Training Package.</w:t>
            </w:r>
          </w:p>
        </w:tc>
      </w:tr>
      <w:tr w:rsidTr="00BC2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p>
        </w:tc>
      </w:tr>
      <w:tr w:rsidTr="00BC2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Critical aspec</w:t>
            </w:r>
            <w:r w:rsidRPr="005C1EF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Assessors must be satisfied that the candidate can competently and consistently:</w:t>
            </w:r>
          </w:p>
          <w:p w:rsidR="00000000" w:rsidRPr="005C1EF6" w:rsidP="005C1EF6">
            <w:pPr>
              <w:pStyle w:val="ListBullet"/>
            </w:pPr>
            <w:r w:rsidRPr="005C1EF6">
              <w:t>observe safety procedures and requirements</w:t>
            </w:r>
          </w:p>
          <w:p w:rsidR="00000000" w:rsidRPr="005C1EF6" w:rsidP="005C1EF6">
            <w:pPr>
              <w:pStyle w:val="ListBullet"/>
            </w:pPr>
            <w:r w:rsidRPr="005C1EF6">
              <w:t>communicate effectively with others involved in or affected by the work</w:t>
            </w:r>
          </w:p>
          <w:p w:rsidR="00000000" w:rsidRPr="005C1EF6" w:rsidP="005C1EF6">
            <w:pPr>
              <w:pStyle w:val="ListBullet"/>
            </w:pPr>
            <w:r w:rsidRPr="005C1EF6">
              <w:t>select methods and techniques appropriate to the circumstances</w:t>
            </w:r>
          </w:p>
          <w:p w:rsidR="00000000" w:rsidRPr="005C1EF6" w:rsidP="005C1EF6">
            <w:pPr>
              <w:pStyle w:val="ListBullet"/>
            </w:pPr>
            <w:r w:rsidRPr="005C1EF6">
              <w:t>complete preparatory activity in a systematic manner</w:t>
            </w:r>
          </w:p>
          <w:p w:rsidR="00000000" w:rsidRPr="005C1EF6" w:rsidP="005C1EF6">
            <w:pPr>
              <w:pStyle w:val="ListBullet"/>
            </w:pPr>
            <w:r w:rsidRPr="005C1EF6">
              <w:t>install a range a range of electronic systems and components to work</w:t>
            </w:r>
            <w:r w:rsidRPr="005C1EF6">
              <w:t>place and manufacturer and component supplier requirements, including GPS, depth sounders, fish finders, communications equipment, audiovisual equipment and radar</w:t>
            </w:r>
          </w:p>
          <w:p w:rsidR="00000000" w:rsidRPr="005C1EF6" w:rsidP="005C1EF6">
            <w:pPr>
              <w:pStyle w:val="ListBullet"/>
            </w:pPr>
            <w:r w:rsidRPr="005C1EF6">
              <w:t>test prior to placing in service</w:t>
            </w:r>
          </w:p>
          <w:p w:rsidR="00000000" w:rsidP="005C1EF6">
            <w:pPr>
              <w:pStyle w:val="ListBullet"/>
              <w:rPr>
                <w:lang w:val="en-NZ"/>
              </w:rPr>
            </w:pPr>
            <w:r w:rsidRPr="005C1EF6">
              <w:t>complete workplace and equipment records and workplace clean</w:t>
            </w:r>
            <w:r w:rsidRPr="005C1EF6">
              <w:t>-up requirements.</w:t>
            </w:r>
          </w:p>
        </w:tc>
      </w:tr>
      <w:tr w:rsidTr="00BC2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Context of</w:t>
            </w:r>
            <w:r w:rsidRPr="005C1EF6">
              <w:t xml:space="preserve">, </w:t>
            </w:r>
            <w:r w:rsidRPr="005C1EF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ListBullet"/>
            </w:pPr>
            <w:r w:rsidRPr="005C1EF6">
              <w:t>The application of competency is to be assessed in the workplace or a simulated environment that reflects as far as possible the actual working environment.</w:t>
            </w:r>
          </w:p>
          <w:p w:rsidR="00000000" w:rsidRPr="005C1EF6" w:rsidP="005C1EF6">
            <w:pPr>
              <w:pStyle w:val="ListBullet"/>
            </w:pPr>
            <w:r w:rsidRPr="005C1EF6">
              <w:t xml:space="preserve">Assessment is to occur using </w:t>
            </w:r>
            <w:r w:rsidRPr="005C1EF6">
              <w:t>standard and authorised work practices, safety requirements and environmental constraints.</w:t>
            </w:r>
          </w:p>
          <w:p w:rsidR="00000000" w:rsidRPr="005C1EF6" w:rsidP="005C1EF6">
            <w:pPr>
              <w:pStyle w:val="ListBullet"/>
            </w:pPr>
            <w:r w:rsidRPr="005C1EF6">
              <w:t>Assessment is to comply with relevant regulatory requirements, including specified Australian standards.</w:t>
            </w:r>
          </w:p>
          <w:p w:rsidR="00000000" w:rsidRPr="005C1EF6" w:rsidP="005C1EF6">
            <w:pPr>
              <w:pStyle w:val="ListBullet"/>
            </w:pPr>
            <w:r w:rsidRPr="005C1EF6">
              <w:t>Where applicable, reasonable adjustment must be made to work</w:t>
            </w:r>
            <w:r w:rsidRPr="005C1EF6">
              <w:t xml:space="preserve"> environments and training situations to accommodate ethnicity, age, gender, demographics and disability.</w:t>
            </w:r>
          </w:p>
          <w:p w:rsidR="00000000" w:rsidRPr="005C1EF6" w:rsidP="005C1EF6">
            <w:pPr>
              <w:pStyle w:val="ListBullet"/>
            </w:pPr>
            <w:r w:rsidRPr="005C1EF6">
              <w:t>The following resources should be made available:</w:t>
            </w:r>
          </w:p>
          <w:p w:rsidR="00000000" w:rsidRPr="005C1EF6" w:rsidP="005C1EF6">
            <w:pPr>
              <w:pStyle w:val="ListBullet2"/>
            </w:pPr>
            <w:r w:rsidRPr="005C1EF6">
              <w:t>workplace location or simulated workplace</w:t>
            </w:r>
          </w:p>
          <w:p w:rsidR="00000000" w:rsidRPr="005C1EF6" w:rsidP="005C1EF6">
            <w:pPr>
              <w:pStyle w:val="ListBullet2"/>
            </w:pPr>
            <w:r w:rsidRPr="005C1EF6">
              <w:t>marine electronic systems and components</w:t>
            </w:r>
          </w:p>
          <w:p w:rsidR="00000000" w:rsidRPr="005C1EF6" w:rsidP="005C1EF6">
            <w:pPr>
              <w:pStyle w:val="ListBullet2"/>
            </w:pPr>
            <w:r w:rsidRPr="005C1EF6">
              <w:t>equipment, hand and power tooling appropriate to the installation of marine electronic systems and components</w:t>
            </w:r>
          </w:p>
          <w:p w:rsidR="00000000" w:rsidRPr="005C1EF6" w:rsidP="005C1EF6">
            <w:pPr>
              <w:pStyle w:val="ListBullet2"/>
            </w:pPr>
            <w:r w:rsidRPr="005C1EF6">
              <w:t>activities covering mandatory task requirements</w:t>
            </w:r>
          </w:p>
          <w:p w:rsidR="00000000" w:rsidP="005C1EF6">
            <w:pPr>
              <w:pStyle w:val="ListBullet2"/>
              <w:rPr>
                <w:lang w:val="en-NZ"/>
              </w:rPr>
            </w:pPr>
            <w:r w:rsidRPr="005C1EF6">
              <w:t>specifications and work instructions.</w:t>
            </w:r>
          </w:p>
        </w:tc>
      </w:tr>
      <w:tr w:rsidTr="00BC2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ListBullet"/>
            </w:pPr>
            <w:r w:rsidRPr="005C1EF6">
              <w:t xml:space="preserve">Assessment must satisfy the endorsed </w:t>
            </w:r>
            <w:r w:rsidRPr="005C1EF6">
              <w:t>Assessment Guidelines of this Training Package.</w:t>
            </w:r>
          </w:p>
          <w:p w:rsidR="00000000" w:rsidRPr="005C1EF6" w:rsidP="005C1EF6">
            <w:pPr>
              <w:pStyle w:val="ListBullet"/>
            </w:pPr>
            <w:r w:rsidRPr="005C1EF6">
              <w:t>Assessment methods must confirm consistency and accuracy of performance (over time and in a range of workplace relevant contexts) together with application of Required Skills and Knowledge.</w:t>
            </w:r>
          </w:p>
          <w:p w:rsidR="00000000" w:rsidRPr="005C1EF6" w:rsidP="005C1EF6">
            <w:pPr>
              <w:pStyle w:val="ListBullet"/>
            </w:pPr>
            <w:r w:rsidRPr="005C1EF6">
              <w:t>Assess</w:t>
            </w:r>
            <w:r w:rsidRPr="005C1EF6">
              <w:t>ment methods must be by direct observation of tasks and include questioning on Required Skills and Knowledge to ensure its correct interpretation and application.</w:t>
            </w:r>
          </w:p>
          <w:p w:rsidR="00000000" w:rsidRPr="005C1EF6" w:rsidP="005C1EF6">
            <w:pPr>
              <w:pStyle w:val="ListBullet"/>
            </w:pPr>
            <w:r w:rsidRPr="005C1EF6">
              <w:t>Assessment may be applied under project-related conditions (real or simulated) and require ev</w:t>
            </w:r>
            <w:r w:rsidRPr="005C1EF6">
              <w:t>idence of process.</w:t>
            </w:r>
          </w:p>
          <w:p w:rsidR="00000000" w:rsidRPr="005C1EF6" w:rsidP="005C1EF6">
            <w:pPr>
              <w:pStyle w:val="ListBullet"/>
            </w:pPr>
            <w:r w:rsidRPr="005C1EF6">
              <w:t>Assessment must confirm a reasonable inference that competency is able not only to be satisfied under the particular circumstance, but is able to be transferred to other circumstances.</w:t>
            </w:r>
          </w:p>
          <w:p w:rsidR="00000000" w:rsidP="005C1EF6">
            <w:pPr>
              <w:pStyle w:val="ListBullet"/>
              <w:rPr>
                <w:lang w:val="en-NZ"/>
              </w:rPr>
            </w:pPr>
            <w:r w:rsidRPr="005C1EF6">
              <w:t>Competence in this unit may be assessed in conjuncti</w:t>
            </w:r>
            <w:r w:rsidRPr="005C1EF6">
              <w:t>on with other functional units which together form part of the holistic work role.</w:t>
            </w:r>
          </w:p>
        </w:tc>
      </w:tr>
      <w:tr w:rsidTr="00BC2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 xml:space="preserve">Assessment processes and techniques must be culturally sensitive and appropriate to the language and literacy capacity of the candidate </w:t>
            </w:r>
            <w:r w:rsidRPr="005C1EF6">
              <w:t>and the work being performed.</w:t>
            </w:r>
          </w:p>
        </w:tc>
      </w:tr>
    </w:tbl>
    <w:p w:rsidR="00BC2C45" w:rsidP="005C1EF6">
      <w:pPr>
        <w:pStyle w:val="BodyText"/>
      </w:pPr>
    </w:p>
    <w:p w:rsidR="00BC2C45" w:rsidP="005C1EF6">
      <w:pPr>
        <w:pStyle w:val="BodyText"/>
      </w:pPr>
    </w:p>
    <w:p w:rsidR="00000000" w:rsidRPr="005C1EF6" w:rsidP="005C1EF6">
      <w:pPr>
        <w:pStyle w:val="Heading1"/>
      </w:pPr>
      <w:bookmarkStart w:id="11" w:name="O_484736"/>
      <w:bookmarkEnd w:id="11"/>
      <w:r w:rsidRPr="005C1EF6">
        <w:t>Range Statement</w:t>
      </w:r>
    </w:p>
    <w:tbl>
      <w:tblPr>
        <w:tblW w:w="0" w:type="auto"/>
        <w:tblLayout w:type="fixed"/>
        <w:tblCellMar>
          <w:left w:w="62" w:type="dxa"/>
          <w:right w:w="62" w:type="dxa"/>
        </w:tblCellMar>
        <w:tblLook w:val="0000"/>
      </w:tblPr>
      <w:tblGrid>
        <w:gridCol w:w="3612"/>
        <w:gridCol w:w="4910"/>
      </w:tblGrid>
      <w:tr w:rsidTr="00BC2C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RANGE STATEMENT</w:t>
            </w:r>
          </w:p>
        </w:tc>
      </w:tr>
      <w:tr w:rsidTr="00BC2C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t xml:space="preserve">The range statement relates to the unit of competency as a whole. It allows for different work environments and situations that may affect </w:t>
            </w:r>
            <w:r w:rsidRPr="005C1EF6">
              <w:t>performance. Essential operating conditions that may be present with training and assessment (depending on the work situation, needs of the candidate, accessibility of the item, and local industry and regional contexts) may also be included.</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Electronic s</w:t>
            </w:r>
            <w:r w:rsidRPr="005C1EF6">
              <w:rPr>
                <w:rStyle w:val="SpecialBold"/>
              </w:rPr>
              <w:t>ystems and components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Electronic systems and components may include:</w:t>
            </w:r>
          </w:p>
          <w:p w:rsidR="00000000" w:rsidRPr="005C1EF6" w:rsidP="005C1EF6">
            <w:pPr>
              <w:pStyle w:val="ListBullet"/>
            </w:pPr>
            <w:r w:rsidRPr="005C1EF6">
              <w:t>GPS</w:t>
            </w:r>
          </w:p>
          <w:p w:rsidR="00000000" w:rsidRPr="005C1EF6" w:rsidP="005C1EF6">
            <w:pPr>
              <w:pStyle w:val="ListBullet"/>
            </w:pPr>
            <w:r w:rsidRPr="005C1EF6">
              <w:t>depth sounders</w:t>
            </w:r>
          </w:p>
          <w:p w:rsidR="00000000" w:rsidRPr="005C1EF6" w:rsidP="005C1EF6">
            <w:pPr>
              <w:pStyle w:val="ListBullet"/>
            </w:pPr>
            <w:r w:rsidRPr="005C1EF6">
              <w:t>fish finders</w:t>
            </w:r>
          </w:p>
          <w:p w:rsidR="00000000" w:rsidRPr="005C1EF6" w:rsidP="005C1EF6">
            <w:pPr>
              <w:pStyle w:val="ListBullet"/>
            </w:pPr>
            <w:r w:rsidRPr="005C1EF6">
              <w:t>communications equipment and radar</w:t>
            </w:r>
          </w:p>
          <w:p w:rsidR="00000000" w:rsidP="005C1EF6">
            <w:pPr>
              <w:pStyle w:val="ListBullet"/>
              <w:rPr>
                <w:lang w:val="en-NZ"/>
              </w:rPr>
            </w:pPr>
            <w:r w:rsidRPr="005C1EF6">
              <w:t>audiovisual equipment</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Repair and test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Repair and rebuild may include:</w:t>
            </w:r>
          </w:p>
          <w:p w:rsidR="00000000" w:rsidRPr="005C1EF6" w:rsidP="005C1EF6">
            <w:pPr>
              <w:pStyle w:val="ListBullet"/>
            </w:pPr>
            <w:r w:rsidRPr="005C1EF6">
              <w:t>on- and off-site repairs</w:t>
            </w:r>
          </w:p>
          <w:p w:rsidR="00000000" w:rsidRPr="005C1EF6" w:rsidP="005C1EF6">
            <w:pPr>
              <w:pStyle w:val="ListBullet"/>
            </w:pPr>
            <w:r w:rsidRPr="005C1EF6">
              <w:t>dismantling and reassembly</w:t>
            </w:r>
          </w:p>
          <w:p w:rsidR="00000000" w:rsidRPr="005C1EF6" w:rsidP="005C1EF6">
            <w:pPr>
              <w:pStyle w:val="ListBullet"/>
            </w:pPr>
            <w:r w:rsidRPr="005C1EF6">
              <w:t>repair and replacement of components</w:t>
            </w:r>
          </w:p>
          <w:p w:rsidR="00000000" w:rsidP="005C1EF6">
            <w:pPr>
              <w:pStyle w:val="ListBullet"/>
              <w:rPr>
                <w:lang w:val="en-NZ"/>
              </w:rPr>
            </w:pPr>
            <w:r w:rsidRPr="005C1EF6">
              <w:t>testing and adjustments</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Low voltage marine electronic systems and components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Low voltage marine electronic systems and components may include:</w:t>
            </w:r>
          </w:p>
          <w:p w:rsidR="00000000" w:rsidRPr="005C1EF6" w:rsidP="005C1EF6">
            <w:pPr>
              <w:pStyle w:val="ListBullet"/>
            </w:pPr>
            <w:r w:rsidRPr="005C1EF6">
              <w:t>GPS</w:t>
            </w:r>
          </w:p>
          <w:p w:rsidR="00000000" w:rsidRPr="005C1EF6" w:rsidP="005C1EF6">
            <w:pPr>
              <w:pStyle w:val="ListBullet"/>
            </w:pPr>
            <w:r w:rsidRPr="005C1EF6">
              <w:t>depth sounders</w:t>
            </w:r>
          </w:p>
          <w:p w:rsidR="00000000" w:rsidRPr="005C1EF6" w:rsidP="005C1EF6">
            <w:pPr>
              <w:pStyle w:val="ListBullet"/>
            </w:pPr>
            <w:r w:rsidRPr="005C1EF6">
              <w:t>communications equipment</w:t>
            </w:r>
          </w:p>
          <w:p w:rsidR="00000000" w:rsidRPr="005C1EF6" w:rsidP="005C1EF6">
            <w:pPr>
              <w:pStyle w:val="ListBullet"/>
            </w:pPr>
            <w:r w:rsidRPr="005C1EF6">
              <w:t>radar</w:t>
            </w:r>
          </w:p>
          <w:p w:rsidR="00000000" w:rsidRPr="005C1EF6" w:rsidP="005C1EF6">
            <w:pPr>
              <w:pStyle w:val="ListBullet"/>
            </w:pPr>
            <w:r w:rsidRPr="005C1EF6">
              <w:t xml:space="preserve">inverters </w:t>
            </w:r>
          </w:p>
          <w:p w:rsidR="00000000" w:rsidRPr="005C1EF6" w:rsidP="005C1EF6">
            <w:pPr>
              <w:pStyle w:val="ListBullet"/>
            </w:pPr>
            <w:r w:rsidRPr="005C1EF6">
              <w:t>alarm systems</w:t>
            </w:r>
          </w:p>
          <w:p w:rsidR="00000000" w:rsidRPr="005C1EF6" w:rsidP="005C1EF6">
            <w:pPr>
              <w:pStyle w:val="ListBullet"/>
            </w:pPr>
            <w:r w:rsidRPr="005C1EF6">
              <w:t>digital antenna systems</w:t>
            </w:r>
          </w:p>
          <w:p w:rsidR="00000000" w:rsidRPr="005C1EF6" w:rsidP="005C1EF6">
            <w:pPr>
              <w:pStyle w:val="ListBullet"/>
            </w:pPr>
            <w:r w:rsidRPr="005C1EF6">
              <w:t xml:space="preserve">television </w:t>
            </w:r>
          </w:p>
          <w:p w:rsidR="00000000" w:rsidRPr="005C1EF6" w:rsidP="005C1EF6">
            <w:pPr>
              <w:pStyle w:val="ListBullet"/>
            </w:pPr>
            <w:r w:rsidRPr="005C1EF6">
              <w:t>remote phone antenna</w:t>
            </w:r>
          </w:p>
          <w:p w:rsidR="00000000" w:rsidP="005C1EF6">
            <w:pPr>
              <w:pStyle w:val="ListBullet"/>
              <w:rPr>
                <w:lang w:val="en-NZ"/>
              </w:rPr>
            </w:pPr>
            <w:r w:rsidRPr="005C1EF6">
              <w:t>coaxial cable appliances</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Final inspection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Final inspection procedures may include:</w:t>
            </w:r>
          </w:p>
          <w:p w:rsidR="00000000" w:rsidRPr="005C1EF6" w:rsidP="005C1EF6">
            <w:pPr>
              <w:pStyle w:val="ListBullet"/>
            </w:pPr>
            <w:r w:rsidRPr="005C1EF6">
              <w:t>checking operation of electronic system or component</w:t>
            </w:r>
          </w:p>
          <w:p w:rsidR="00000000" w:rsidRPr="005C1EF6" w:rsidP="005C1EF6">
            <w:pPr>
              <w:pStyle w:val="ListBullet"/>
            </w:pPr>
            <w:r w:rsidRPr="005C1EF6">
              <w:t>checking that cover</w:t>
            </w:r>
            <w:r w:rsidRPr="005C1EF6">
              <w:t>s are in place on equipment</w:t>
            </w:r>
          </w:p>
          <w:p w:rsidR="00000000" w:rsidRPr="005C1EF6" w:rsidP="005C1EF6">
            <w:pPr>
              <w:pStyle w:val="ListBullet"/>
            </w:pPr>
            <w:r w:rsidRPr="005C1EF6">
              <w:t>cabling and wiring is securely fastened</w:t>
            </w:r>
          </w:p>
          <w:p w:rsidR="00000000" w:rsidP="005C1EF6">
            <w:pPr>
              <w:pStyle w:val="ListBullet"/>
              <w:rPr>
                <w:lang w:val="en-NZ"/>
              </w:rPr>
            </w:pPr>
            <w:r w:rsidRPr="005C1EF6">
              <w:t>transducers, antennas and receivers are positioned correctly</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Installation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Installation methods may include:</w:t>
            </w:r>
          </w:p>
          <w:p w:rsidR="00000000" w:rsidRPr="005C1EF6" w:rsidP="005C1EF6">
            <w:pPr>
              <w:pStyle w:val="ListBullet"/>
            </w:pPr>
            <w:r w:rsidRPr="005C1EF6">
              <w:t>reading and interpreting wiring diagrams</w:t>
            </w:r>
          </w:p>
          <w:p w:rsidR="00000000" w:rsidRPr="005C1EF6" w:rsidP="005C1EF6">
            <w:pPr>
              <w:pStyle w:val="ListBullet"/>
            </w:pPr>
            <w:r w:rsidRPr="005C1EF6">
              <w:t>wiring, soldering and crimping</w:t>
            </w:r>
          </w:p>
          <w:p w:rsidR="00000000" w:rsidRPr="005C1EF6" w:rsidP="005C1EF6">
            <w:pPr>
              <w:pStyle w:val="ListBullet"/>
            </w:pPr>
            <w:r w:rsidRPr="005C1EF6">
              <w:t>installing components and wiring</w:t>
            </w:r>
          </w:p>
          <w:p w:rsidR="00000000" w:rsidRPr="005C1EF6" w:rsidP="005C1EF6">
            <w:pPr>
              <w:pStyle w:val="ListBullet"/>
            </w:pPr>
            <w:r w:rsidRPr="005C1EF6">
              <w:t>adjustments and post-installation checks</w:t>
            </w:r>
          </w:p>
          <w:p w:rsidR="00000000" w:rsidP="005C1EF6">
            <w:pPr>
              <w:pStyle w:val="ListBullet"/>
              <w:rPr>
                <w:lang w:val="en-NZ"/>
              </w:rPr>
            </w:pPr>
            <w:r w:rsidRPr="005C1EF6">
              <w:t>functional operation testing</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Tooling and equipment may include:</w:t>
            </w:r>
          </w:p>
          <w:p w:rsidR="00000000" w:rsidRPr="005C1EF6" w:rsidP="005C1EF6">
            <w:pPr>
              <w:pStyle w:val="ListBullet"/>
            </w:pPr>
            <w:r w:rsidRPr="005C1EF6">
              <w:t>specific service and general workshop equipment and tooling</w:t>
            </w:r>
          </w:p>
          <w:p w:rsidR="00000000" w:rsidRPr="005C1EF6" w:rsidP="005C1EF6">
            <w:pPr>
              <w:pStyle w:val="ListBullet"/>
            </w:pPr>
            <w:r w:rsidRPr="005C1EF6">
              <w:t>mea</w:t>
            </w:r>
            <w:r w:rsidRPr="005C1EF6">
              <w:t>suring equipment</w:t>
            </w:r>
          </w:p>
          <w:p w:rsidR="00000000" w:rsidRPr="005C1EF6" w:rsidP="005C1EF6">
            <w:pPr>
              <w:pStyle w:val="ListBullet"/>
            </w:pPr>
            <w:r w:rsidRPr="005C1EF6">
              <w:t>termination equipment</w:t>
            </w:r>
          </w:p>
          <w:p w:rsidR="00000000" w:rsidRPr="005C1EF6" w:rsidP="005C1EF6">
            <w:pPr>
              <w:pStyle w:val="ListBullet"/>
            </w:pPr>
            <w:r w:rsidRPr="005C1EF6">
              <w:t>analogue and digital meters</w:t>
            </w:r>
          </w:p>
          <w:p w:rsidR="00000000" w:rsidRPr="005C1EF6" w:rsidP="005C1EF6">
            <w:pPr>
              <w:pStyle w:val="ListBullet"/>
            </w:pPr>
            <w:r w:rsidRPr="005C1EF6">
              <w:t>crimping tools</w:t>
            </w:r>
          </w:p>
          <w:p w:rsidR="00000000" w:rsidP="005C1EF6">
            <w:pPr>
              <w:pStyle w:val="ListBullet"/>
              <w:rPr>
                <w:lang w:val="en-NZ"/>
              </w:rPr>
            </w:pPr>
            <w:r w:rsidRPr="005C1EF6">
              <w:t>soldering equipment</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Safe operating procedures may include:</w:t>
            </w:r>
          </w:p>
          <w:p w:rsidR="00000000" w:rsidRPr="005C1EF6" w:rsidP="005C1EF6">
            <w:pPr>
              <w:pStyle w:val="ListBullet"/>
            </w:pPr>
            <w:r w:rsidRPr="005C1EF6">
              <w:t xml:space="preserve">operational risk assessment and treatments </w:t>
            </w:r>
          </w:p>
          <w:p w:rsidR="00000000" w:rsidRPr="005C1EF6" w:rsidP="005C1EF6">
            <w:pPr>
              <w:pStyle w:val="ListBullet"/>
            </w:pPr>
            <w:r w:rsidRPr="005C1EF6">
              <w:t>toxic substances</w:t>
            </w:r>
          </w:p>
          <w:p w:rsidR="00000000" w:rsidRPr="005C1EF6" w:rsidP="005C1EF6">
            <w:pPr>
              <w:pStyle w:val="ListBullet"/>
            </w:pPr>
            <w:r w:rsidRPr="005C1EF6">
              <w:t>electrical safety</w:t>
            </w:r>
          </w:p>
          <w:p w:rsidR="00000000" w:rsidRPr="005C1EF6" w:rsidP="005C1EF6">
            <w:pPr>
              <w:pStyle w:val="ListBullet"/>
            </w:pPr>
            <w:r w:rsidRPr="005C1EF6">
              <w:t>machinery movement and operation</w:t>
            </w:r>
          </w:p>
          <w:p w:rsidR="00000000" w:rsidRPr="005C1EF6" w:rsidP="005C1EF6">
            <w:pPr>
              <w:pStyle w:val="ListBullet"/>
            </w:pPr>
            <w:r w:rsidRPr="005C1EF6">
              <w:t>manual and mechanical lifting and shifting</w:t>
            </w:r>
          </w:p>
          <w:p w:rsidR="00000000" w:rsidP="005C1EF6">
            <w:pPr>
              <w:pStyle w:val="ListBullet"/>
              <w:rPr>
                <w:lang w:val="en-NZ"/>
              </w:rPr>
            </w:pPr>
            <w:r w:rsidRPr="005C1EF6">
              <w:t>working in proximity to others</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Information</w:t>
            </w:r>
            <w:r w:rsidRPr="005C1EF6">
              <w:t>/</w:t>
            </w:r>
            <w:r w:rsidRPr="005C1EF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Information/documents may include:</w:t>
            </w:r>
          </w:p>
          <w:p w:rsidR="00000000" w:rsidRPr="005C1EF6" w:rsidP="005C1EF6">
            <w:pPr>
              <w:pStyle w:val="ListBullet"/>
            </w:pPr>
            <w:r w:rsidRPr="005C1EF6">
              <w:t xml:space="preserve">verbal, written and graphical instructions issued by authorised internal and external </w:t>
            </w:r>
            <w:r w:rsidRPr="005C1EF6">
              <w:t>persons</w:t>
            </w:r>
          </w:p>
          <w:p w:rsidR="00000000" w:rsidRPr="005C1EF6" w:rsidP="005C1EF6">
            <w:pPr>
              <w:pStyle w:val="ListBullet"/>
            </w:pPr>
            <w:r w:rsidRPr="005C1EF6">
              <w:t>parts listing prices and catalogues</w:t>
            </w:r>
          </w:p>
          <w:p w:rsidR="00000000" w:rsidRPr="005C1EF6" w:rsidP="005C1EF6">
            <w:pPr>
              <w:pStyle w:val="ListBullet"/>
            </w:pPr>
            <w:r w:rsidRPr="005C1EF6">
              <w:t>inventory systems</w:t>
            </w:r>
          </w:p>
          <w:p w:rsidR="00000000" w:rsidRPr="005C1EF6" w:rsidP="005C1EF6">
            <w:pPr>
              <w:pStyle w:val="ListBullet"/>
            </w:pPr>
            <w:r w:rsidRPr="005C1EF6">
              <w:t>Repair Times manuals</w:t>
            </w:r>
          </w:p>
          <w:p w:rsidR="00000000" w:rsidRPr="005C1EF6" w:rsidP="005C1EF6">
            <w:pPr>
              <w:pStyle w:val="ListBullet"/>
            </w:pPr>
            <w:r w:rsidRPr="005C1EF6">
              <w:t>material safety data sheets (MSDS)</w:t>
            </w:r>
          </w:p>
          <w:p w:rsidR="00000000" w:rsidRPr="005C1EF6" w:rsidP="005C1EF6">
            <w:pPr>
              <w:pStyle w:val="ListBullet"/>
            </w:pPr>
            <w:r w:rsidRPr="005C1EF6">
              <w:t>diagrams or sketches</w:t>
            </w:r>
          </w:p>
          <w:p w:rsidR="00000000" w:rsidRPr="005C1EF6" w:rsidP="005C1EF6">
            <w:pPr>
              <w:pStyle w:val="ListBullet"/>
            </w:pPr>
            <w:r w:rsidRPr="005C1EF6">
              <w:t>engineer's design specifications and instructions</w:t>
            </w:r>
          </w:p>
          <w:p w:rsidR="00000000" w:rsidRPr="005C1EF6" w:rsidP="005C1EF6">
            <w:pPr>
              <w:pStyle w:val="ListBullet"/>
            </w:pPr>
            <w:r w:rsidRPr="005C1EF6">
              <w:t>manufacturer specifications</w:t>
            </w:r>
          </w:p>
          <w:p w:rsidR="00000000" w:rsidRPr="005C1EF6" w:rsidP="005C1EF6">
            <w:pPr>
              <w:pStyle w:val="ListBullet"/>
            </w:pPr>
            <w:r w:rsidRPr="005C1EF6">
              <w:t>industry codes of practice</w:t>
            </w:r>
          </w:p>
          <w:p w:rsidR="00000000" w:rsidRPr="005C1EF6" w:rsidP="005C1EF6">
            <w:pPr>
              <w:pStyle w:val="ListBullet"/>
            </w:pPr>
            <w:r w:rsidRPr="005C1EF6">
              <w:t>workplace sp</w:t>
            </w:r>
            <w:r w:rsidRPr="005C1EF6">
              <w:t>ecifications and requirements</w:t>
            </w:r>
          </w:p>
          <w:p w:rsidR="00000000" w:rsidRPr="005C1EF6" w:rsidP="005C1EF6">
            <w:pPr>
              <w:pStyle w:val="ListBullet"/>
            </w:pPr>
            <w:r w:rsidRPr="005C1EF6">
              <w:t>industry standards (e.g. American Boat and Yacht Council, National Marine, Manufacturer's Association and US Coast Guard)</w:t>
            </w:r>
          </w:p>
          <w:p w:rsidR="00000000" w:rsidRPr="005C1EF6" w:rsidP="005C1EF6">
            <w:pPr>
              <w:pStyle w:val="ListBullet"/>
            </w:pPr>
            <w:r w:rsidRPr="005C1EF6">
              <w:t>Australian standards</w:t>
            </w:r>
          </w:p>
          <w:p w:rsidR="00000000" w:rsidP="005C1EF6">
            <w:pPr>
              <w:pStyle w:val="ListBullet"/>
              <w:rPr>
                <w:lang w:val="en-NZ"/>
              </w:rPr>
            </w:pPr>
            <w:r w:rsidRPr="005C1EF6">
              <w:t>workplace specifications and requirements</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Legislative requirements</w:t>
            </w:r>
            <w:r w:rsidRPr="005C1E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Legislative requirements are to be in accordance with applicable commonwealth, state or territory legislation, regulations, certification requirements and codes of practice, and may include:</w:t>
            </w:r>
          </w:p>
          <w:p w:rsidR="00000000" w:rsidRPr="005C1EF6" w:rsidP="005C1EF6">
            <w:pPr>
              <w:pStyle w:val="ListBullet"/>
            </w:pPr>
            <w:r w:rsidRPr="005C1EF6">
              <w:t>award and enterprise agreements</w:t>
            </w:r>
          </w:p>
          <w:p w:rsidR="00000000" w:rsidRPr="005C1EF6" w:rsidP="005C1EF6">
            <w:pPr>
              <w:pStyle w:val="ListBullet"/>
            </w:pPr>
            <w:r w:rsidRPr="005C1EF6">
              <w:t>industrial relations</w:t>
            </w:r>
          </w:p>
          <w:p w:rsidR="00000000" w:rsidRPr="005C1EF6" w:rsidP="005C1EF6">
            <w:pPr>
              <w:pStyle w:val="ListBullet"/>
            </w:pPr>
            <w:r w:rsidRPr="005C1EF6">
              <w:t xml:space="preserve">Australian </w:t>
            </w:r>
            <w:r w:rsidRPr="005C1EF6">
              <w:t>standards</w:t>
            </w:r>
          </w:p>
          <w:p w:rsidR="00000000" w:rsidRPr="005C1EF6" w:rsidP="005C1EF6">
            <w:pPr>
              <w:pStyle w:val="ListBullet"/>
            </w:pPr>
            <w:r w:rsidRPr="005C1EF6">
              <w:t>Australian Design Rules</w:t>
            </w:r>
          </w:p>
          <w:p w:rsidR="00000000" w:rsidRPr="005C1EF6" w:rsidP="005C1EF6">
            <w:pPr>
              <w:pStyle w:val="ListBullet"/>
            </w:pPr>
            <w:r w:rsidRPr="005C1EF6">
              <w:t>confidentiality and privacy</w:t>
            </w:r>
          </w:p>
          <w:p w:rsidR="00000000" w:rsidRPr="005C1EF6" w:rsidP="005C1EF6">
            <w:pPr>
              <w:pStyle w:val="ListBullet"/>
            </w:pPr>
            <w:r w:rsidRPr="005C1EF6">
              <w:t>WHS</w:t>
            </w:r>
          </w:p>
          <w:p w:rsidR="00000000" w:rsidRPr="005C1EF6" w:rsidP="005C1EF6">
            <w:pPr>
              <w:pStyle w:val="ListBullet"/>
            </w:pPr>
            <w:r w:rsidRPr="005C1EF6">
              <w:t>the environment</w:t>
            </w:r>
          </w:p>
          <w:p w:rsidR="00000000" w:rsidRPr="005C1EF6" w:rsidP="005C1EF6">
            <w:pPr>
              <w:pStyle w:val="ListBullet"/>
            </w:pPr>
            <w:r w:rsidRPr="005C1EF6">
              <w:t>equal opportunity</w:t>
            </w:r>
          </w:p>
          <w:p w:rsidR="00000000" w:rsidRPr="005C1EF6" w:rsidP="005C1EF6">
            <w:pPr>
              <w:pStyle w:val="ListBullet"/>
            </w:pPr>
            <w:r w:rsidRPr="005C1EF6">
              <w:t>anti-discrimination</w:t>
            </w:r>
          </w:p>
          <w:p w:rsidR="00000000" w:rsidP="005C1EF6">
            <w:pPr>
              <w:pStyle w:val="ListBullet"/>
              <w:rPr>
                <w:lang w:val="en-NZ"/>
              </w:rPr>
            </w:pPr>
            <w:r w:rsidRPr="005C1EF6">
              <w:t>duty of care</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WHS requirements are to be in accordance with applicable commonwealth, state or territory legislation and</w:t>
            </w:r>
            <w:r w:rsidRPr="005C1EF6">
              <w:t xml:space="preserve"> regulations, and organisational safety policies and procedures, and may include:</w:t>
            </w:r>
          </w:p>
          <w:p w:rsidR="00000000" w:rsidRPr="005C1EF6" w:rsidP="005C1EF6">
            <w:pPr>
              <w:pStyle w:val="ListBullet"/>
            </w:pPr>
            <w:r w:rsidRPr="005C1EF6">
              <w:t>personal protective equipment and clothing</w:t>
            </w:r>
          </w:p>
          <w:p w:rsidR="00000000" w:rsidRPr="005C1EF6" w:rsidP="005C1EF6">
            <w:pPr>
              <w:pStyle w:val="ListBullet"/>
            </w:pPr>
            <w:r w:rsidRPr="005C1EF6">
              <w:t>safety equipment</w:t>
            </w:r>
          </w:p>
          <w:p w:rsidR="00000000" w:rsidRPr="005C1EF6" w:rsidP="005C1EF6">
            <w:pPr>
              <w:pStyle w:val="ListBullet"/>
            </w:pPr>
            <w:r w:rsidRPr="005C1EF6">
              <w:t>first aid equipment</w:t>
            </w:r>
          </w:p>
          <w:p w:rsidR="00000000" w:rsidRPr="005C1EF6" w:rsidP="005C1EF6">
            <w:pPr>
              <w:pStyle w:val="ListBullet"/>
            </w:pPr>
            <w:r w:rsidRPr="005C1EF6">
              <w:t>hazard and risk control</w:t>
            </w:r>
          </w:p>
          <w:p w:rsidR="00000000" w:rsidRPr="005C1EF6" w:rsidP="005C1EF6">
            <w:pPr>
              <w:pStyle w:val="ListBullet"/>
            </w:pPr>
            <w:r w:rsidRPr="005C1EF6">
              <w:t>elimination of hazardous materials and substances</w:t>
            </w:r>
          </w:p>
          <w:p w:rsidR="00000000" w:rsidRPr="005C1EF6" w:rsidP="005C1EF6">
            <w:pPr>
              <w:pStyle w:val="ListBullet"/>
            </w:pPr>
            <w:r w:rsidRPr="005C1EF6">
              <w:t>manual handling, including shifting, lifting and carrying</w:t>
            </w:r>
          </w:p>
          <w:p w:rsidR="00000000" w:rsidP="005C1EF6">
            <w:pPr>
              <w:pStyle w:val="ListBullet"/>
              <w:rPr>
                <w:lang w:val="en-NZ"/>
              </w:rPr>
            </w:pPr>
            <w:r w:rsidRPr="005C1EF6">
              <w:t>emergency procedures</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Environmental requirements</w:t>
            </w:r>
            <w:r w:rsidRPr="005C1E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Environmental requirements may include:</w:t>
            </w:r>
          </w:p>
          <w:p w:rsidR="00000000" w:rsidRPr="005C1EF6" w:rsidP="005C1EF6">
            <w:pPr>
              <w:pStyle w:val="ListBullet"/>
            </w:pPr>
            <w:r w:rsidRPr="005C1EF6">
              <w:t>waste management</w:t>
            </w:r>
          </w:p>
          <w:p w:rsidR="00000000" w:rsidRPr="005C1EF6" w:rsidP="005C1EF6">
            <w:pPr>
              <w:pStyle w:val="ListBullet"/>
            </w:pPr>
            <w:r w:rsidRPr="005C1EF6">
              <w:t>noise</w:t>
            </w:r>
          </w:p>
          <w:p w:rsidR="00000000" w:rsidRPr="005C1EF6" w:rsidP="005C1EF6">
            <w:pPr>
              <w:pStyle w:val="ListBullet"/>
            </w:pPr>
            <w:r w:rsidRPr="005C1EF6">
              <w:t>dust</w:t>
            </w:r>
          </w:p>
          <w:p w:rsidR="00000000" w:rsidP="005C1EF6">
            <w:pPr>
              <w:pStyle w:val="ListBullet"/>
              <w:rPr>
                <w:lang w:val="en-NZ"/>
              </w:rPr>
            </w:pPr>
            <w:r w:rsidRPr="005C1EF6">
              <w:t>clean-up management</w:t>
            </w:r>
          </w:p>
        </w:tc>
      </w:tr>
      <w:tr w:rsidTr="00BC2C4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Organisational policies and procedures may include:</w:t>
            </w:r>
          </w:p>
          <w:p w:rsidR="00000000" w:rsidRPr="005C1EF6" w:rsidP="005C1EF6">
            <w:pPr>
              <w:pStyle w:val="ListBullet"/>
            </w:pPr>
            <w:r w:rsidRPr="005C1EF6">
              <w:t>quality policies and procedures, including Australian standards</w:t>
            </w:r>
          </w:p>
          <w:p w:rsidR="00000000" w:rsidRPr="005C1EF6" w:rsidP="005C1EF6">
            <w:pPr>
              <w:pStyle w:val="ListBullet"/>
            </w:pPr>
            <w:r w:rsidRPr="005C1EF6">
              <w:t xml:space="preserve">WHS, sustainability, environment, equal opportunity and anti-discrimination </w:t>
            </w:r>
          </w:p>
          <w:p w:rsidR="00000000" w:rsidRPr="005C1EF6" w:rsidP="005C1EF6">
            <w:pPr>
              <w:pStyle w:val="ListBullet"/>
            </w:pPr>
            <w:r w:rsidRPr="005C1EF6">
              <w:t>manufacturer specifications and industry codes of practice</w:t>
            </w:r>
          </w:p>
          <w:p w:rsidR="00000000" w:rsidRPr="005C1EF6" w:rsidP="005C1EF6">
            <w:pPr>
              <w:pStyle w:val="ListBullet"/>
            </w:pPr>
            <w:r w:rsidRPr="005C1EF6">
              <w:t>saf</w:t>
            </w:r>
            <w:r w:rsidRPr="005C1EF6">
              <w:t xml:space="preserve">e work procedures </w:t>
            </w:r>
          </w:p>
          <w:p w:rsidR="00000000" w:rsidRPr="005C1EF6" w:rsidP="005C1EF6">
            <w:pPr>
              <w:pStyle w:val="ListBullet"/>
            </w:pPr>
            <w:r w:rsidRPr="005C1EF6">
              <w:t>reporting and recording procedures</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12" w:name="O_484739"/>
      <w:bookmarkEnd w:id="12"/>
      <w:r w:rsidRPr="005C1EF6">
        <w:t>Unit Sector(s)</w:t>
      </w:r>
    </w:p>
    <w:tbl>
      <w:tblPr>
        <w:tblW w:w="0" w:type="auto"/>
        <w:tblLayout w:type="fixed"/>
        <w:tblCellMar>
          <w:left w:w="62" w:type="dxa"/>
          <w:right w:w="62" w:type="dxa"/>
        </w:tblCellMar>
        <w:tblLook w:val="0000"/>
      </w:tblPr>
      <w:tblGrid>
        <w:gridCol w:w="2621"/>
        <w:gridCol w:w="5901"/>
      </w:tblGrid>
      <w:tr w:rsidTr="00BC2C4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Marine</w:t>
            </w:r>
          </w:p>
        </w:tc>
      </w:tr>
    </w:tbl>
    <w:p w:rsidR="00000000" w:rsidRPr="005C1EF6" w:rsidP="005C1EF6">
      <w:pPr>
        <w:pStyle w:val="BodyText"/>
      </w:pPr>
    </w:p>
    <w:p w:rsidR="00000000" w:rsidRPr="005C1EF6" w:rsidP="005C1EF6">
      <w:pPr>
        <w:pStyle w:val="AllowPageBreak"/>
      </w:pPr>
    </w:p>
    <w:p w:rsidR="00000000" w:rsidRPr="005C1EF6" w:rsidP="005C1EF6">
      <w:pPr>
        <w:pStyle w:val="Heading1"/>
      </w:pPr>
      <w:bookmarkStart w:id="13" w:name="O_484728"/>
      <w:bookmarkEnd w:id="13"/>
      <w:r w:rsidRPr="005C1EF6">
        <w:t>Co-requisite units</w:t>
      </w:r>
    </w:p>
    <w:p w:rsidR="00000000" w:rsidRPr="005C1EF6" w:rsidP="005C1EF6">
      <w:pPr>
        <w:pStyle w:val="BodyText"/>
      </w:pPr>
      <w:r w:rsidRPr="005C1EF6">
        <w:t>Not applicable.</w:t>
      </w:r>
    </w:p>
    <w:p w:rsidR="00000000" w:rsidRPr="005C1EF6" w:rsidP="005C1EF6">
      <w:pPr>
        <w:pStyle w:val="AllowPageBreak"/>
      </w:pPr>
    </w:p>
    <w:p w:rsidR="00000000" w:rsidRPr="005C1EF6" w:rsidP="005C1EF6">
      <w:pPr>
        <w:pStyle w:val="Heading1"/>
      </w:pPr>
      <w:bookmarkStart w:id="14" w:name="O_484727"/>
      <w:bookmarkEnd w:id="14"/>
      <w:r w:rsidRPr="005C1EF6">
        <w:t>Competency field</w:t>
      </w:r>
    </w:p>
    <w:tbl>
      <w:tblPr>
        <w:tblW w:w="0" w:type="auto"/>
        <w:tblLayout w:type="fixed"/>
        <w:tblCellMar>
          <w:left w:w="62" w:type="dxa"/>
          <w:right w:w="62" w:type="dxa"/>
        </w:tblCellMar>
        <w:tblLook w:val="0000"/>
      </w:tblPr>
      <w:tblGrid>
        <w:gridCol w:w="2784"/>
        <w:gridCol w:w="5738"/>
      </w:tblGrid>
      <w:tr w:rsidTr="00BC2C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EF6">
            <w:pPr>
              <w:pStyle w:val="BodyText"/>
              <w:rPr>
                <w:lang w:val="en-NZ"/>
              </w:rPr>
            </w:pPr>
            <w:r w:rsidRPr="005C1E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EF6" w:rsidP="005C1EF6">
            <w:pPr>
              <w:pStyle w:val="BodyText"/>
            </w:pPr>
            <w:r w:rsidRPr="005C1EF6">
              <w:t>Technical - Electrical and Electronic</w:t>
            </w:r>
          </w:p>
        </w:tc>
      </w:tr>
    </w:tbl>
    <w:p w:rsidR="00000000" w:rsidRPr="005C1EF6" w:rsidP="005C1EF6">
      <w:pPr>
        <w:pStyle w:val="BodyText"/>
      </w:pPr>
    </w:p>
    <w:p w:rsidR="00000000" w:rsidRPr="005C1EF6" w:rsidP="005C1EF6"/>
    <w:sectPr w:rsidSect="005C1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rsidRPr="00BC2C45" w:rsidP="00BC2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45" w:rsidP="005C1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2C45" w:rsidP="005C1E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C2C45" w:rsidP="005C1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rsidRPr="00BC2C45" w:rsidP="00BC2C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C45" w:rsidRPr="002D2AF8" w:rsidP="005C1EF6">
    <w:pPr>
      <w:pStyle w:val="Header"/>
      <w:framePr w:wrap="around"/>
    </w:pPr>
    <w:r>
      <w:fldChar w:fldCharType="begin"/>
    </w:r>
    <w:r>
      <w:instrText xml:space="preserve"> TITLE   \* MERGEFORMAT </w:instrText>
    </w:r>
    <w:r>
      <w:fldChar w:fldCharType="separate"/>
    </w:r>
    <w:r>
      <w:t>AURRTR3002 Install marine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C2C45" w:rsidP="005C1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AB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74F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2F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EF6"/>
    <w:pPr>
      <w:spacing w:before="360" w:after="60"/>
      <w:outlineLvl w:val="0"/>
    </w:pPr>
    <w:rPr>
      <w:sz w:val="32"/>
    </w:rPr>
  </w:style>
  <w:style w:type="paragraph" w:styleId="Heading2">
    <w:name w:val="heading 2"/>
    <w:basedOn w:val="HeadingBase"/>
    <w:next w:val="BodyText"/>
    <w:link w:val="Heading2Char"/>
    <w:qFormat/>
    <w:rsid w:val="005C1EF6"/>
    <w:pPr>
      <w:keepLines/>
      <w:spacing w:before="240" w:after="120"/>
      <w:outlineLvl w:val="1"/>
    </w:pPr>
    <w:rPr>
      <w:sz w:val="28"/>
      <w:szCs w:val="40"/>
    </w:rPr>
  </w:style>
  <w:style w:type="paragraph" w:styleId="Heading3">
    <w:name w:val="heading 3"/>
    <w:basedOn w:val="HeadingBase"/>
    <w:next w:val="BodyText"/>
    <w:link w:val="Heading3Char"/>
    <w:qFormat/>
    <w:rsid w:val="005C1EF6"/>
    <w:pPr>
      <w:spacing w:before="180" w:after="120"/>
      <w:outlineLvl w:val="2"/>
    </w:pPr>
    <w:rPr>
      <w:spacing w:val="-10"/>
      <w:kern w:val="32"/>
    </w:rPr>
  </w:style>
  <w:style w:type="paragraph" w:styleId="Heading4">
    <w:name w:val="heading 4"/>
    <w:basedOn w:val="HeadingBase"/>
    <w:next w:val="BodyText"/>
    <w:link w:val="Heading4Char"/>
    <w:qFormat/>
    <w:rsid w:val="005C1EF6"/>
    <w:pPr>
      <w:spacing w:before="160" w:after="120"/>
      <w:outlineLvl w:val="3"/>
    </w:pPr>
    <w:rPr>
      <w:sz w:val="22"/>
    </w:rPr>
  </w:style>
  <w:style w:type="paragraph" w:styleId="Heading5">
    <w:name w:val="heading 5"/>
    <w:basedOn w:val="HeadingBase"/>
    <w:next w:val="Normal"/>
    <w:link w:val="Heading5Char"/>
    <w:qFormat/>
    <w:rsid w:val="005C1EF6"/>
    <w:pPr>
      <w:spacing w:before="80"/>
      <w:outlineLvl w:val="4"/>
    </w:pPr>
    <w:rPr>
      <w:color w:val="918585"/>
      <w:sz w:val="20"/>
    </w:rPr>
  </w:style>
  <w:style w:type="paragraph" w:styleId="Heading6">
    <w:name w:val="heading 6"/>
    <w:basedOn w:val="HeadingBase"/>
    <w:next w:val="Normal"/>
    <w:link w:val="Heading6Char"/>
    <w:qFormat/>
    <w:rsid w:val="005C1EF6"/>
    <w:pPr>
      <w:spacing w:before="60"/>
      <w:outlineLvl w:val="5"/>
    </w:pPr>
    <w:rPr>
      <w:color w:val="918585"/>
      <w:sz w:val="20"/>
    </w:rPr>
  </w:style>
  <w:style w:type="paragraph" w:styleId="Heading7">
    <w:name w:val="heading 7"/>
    <w:basedOn w:val="Normal"/>
    <w:next w:val="Normal"/>
    <w:link w:val="Heading7Char"/>
    <w:qFormat/>
    <w:rsid w:val="005C1EF6"/>
    <w:pPr>
      <w:ind w:left="720"/>
      <w:outlineLvl w:val="6"/>
    </w:pPr>
    <w:rPr>
      <w:i/>
    </w:rPr>
  </w:style>
  <w:style w:type="paragraph" w:styleId="Heading8">
    <w:name w:val="heading 8"/>
    <w:basedOn w:val="Normal"/>
    <w:next w:val="Normal"/>
    <w:link w:val="Heading8Char"/>
    <w:qFormat/>
    <w:rsid w:val="005C1EF6"/>
    <w:pPr>
      <w:ind w:left="720"/>
      <w:outlineLvl w:val="7"/>
    </w:pPr>
    <w:rPr>
      <w:i/>
    </w:rPr>
  </w:style>
  <w:style w:type="paragraph" w:styleId="Heading9">
    <w:name w:val="heading 9"/>
    <w:basedOn w:val="Normal"/>
    <w:next w:val="Normal"/>
    <w:link w:val="Heading9Char"/>
    <w:qFormat/>
    <w:rsid w:val="005C1EF6"/>
    <w:pPr>
      <w:ind w:left="720"/>
      <w:outlineLvl w:val="8"/>
    </w:pPr>
    <w:rPr>
      <w:i/>
    </w:rPr>
  </w:style>
  <w:style w:type="character" w:default="1" w:styleId="DefaultParagraphFont">
    <w:name w:val="Default Paragraph Font"/>
    <w:uiPriority w:val="1"/>
    <w:unhideWhenUsed/>
    <w:rsid w:val="005C1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EF6"/>
  </w:style>
  <w:style w:type="character" w:customStyle="1" w:styleId="Heading1Char">
    <w:name w:val="Heading 1 Char"/>
    <w:basedOn w:val="DefaultParagraphFont"/>
    <w:link w:val="Heading1"/>
    <w:rsid w:val="005C1EF6"/>
    <w:rPr>
      <w:rFonts w:ascii="Times New Roman" w:eastAsia="Times New Roman" w:hAnsi="Times New Roman" w:cs="Times New Roman"/>
      <w:b/>
      <w:sz w:val="32"/>
      <w:szCs w:val="20"/>
      <w:lang w:eastAsia="en-US"/>
    </w:rPr>
  </w:style>
  <w:style w:type="paragraph" w:styleId="BodyText">
    <w:name w:val="Body Text"/>
    <w:basedOn w:val="Normal"/>
    <w:link w:val="BodyTextChar"/>
    <w:rsid w:val="005C1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EF6"/>
    <w:rPr>
      <w:rFonts w:ascii="Times New Roman" w:eastAsia="Times New Roman" w:hAnsi="Times New Roman" w:cs="Times New Roman"/>
      <w:sz w:val="24"/>
      <w:lang w:eastAsia="en-US"/>
    </w:rPr>
  </w:style>
  <w:style w:type="paragraph" w:styleId="List">
    <w:name w:val="List"/>
    <w:basedOn w:val="BodyText"/>
    <w:next w:val="BodyText"/>
    <w:rsid w:val="005C1EF6"/>
    <w:pPr>
      <w:tabs>
        <w:tab w:val="left" w:pos="340"/>
      </w:tabs>
      <w:spacing w:before="60" w:after="60"/>
      <w:ind w:left="340" w:hanging="340"/>
    </w:pPr>
  </w:style>
  <w:style w:type="paragraph" w:styleId="ListBullet">
    <w:name w:val="List Bullet"/>
    <w:basedOn w:val="List"/>
    <w:rsid w:val="005C1EF6"/>
    <w:pPr>
      <w:numPr>
        <w:numId w:val="13"/>
      </w:numPr>
      <w:tabs>
        <w:tab w:val="clear" w:pos="340"/>
      </w:tabs>
      <w:spacing w:before="40" w:after="40"/>
    </w:pPr>
  </w:style>
  <w:style w:type="character" w:customStyle="1" w:styleId="SpecialBold">
    <w:name w:val="Special Bold"/>
    <w:basedOn w:val="DefaultParagraphFont"/>
    <w:rsid w:val="005C1EF6"/>
    <w:rPr>
      <w:b/>
      <w:spacing w:val="0"/>
    </w:rPr>
  </w:style>
  <w:style w:type="paragraph" w:styleId="ListBullet2">
    <w:name w:val="List Bullet 2"/>
    <w:basedOn w:val="List2"/>
    <w:rsid w:val="005C1EF6"/>
    <w:pPr>
      <w:numPr>
        <w:numId w:val="14"/>
      </w:numPr>
      <w:tabs>
        <w:tab w:val="clear" w:pos="680"/>
      </w:tabs>
    </w:pPr>
  </w:style>
  <w:style w:type="paragraph" w:customStyle="1" w:styleId="SuperHeading">
    <w:name w:val="SuperHeading"/>
    <w:basedOn w:val="Normal"/>
    <w:rsid w:val="005C1EF6"/>
    <w:pPr>
      <w:spacing w:before="240" w:after="120"/>
      <w:outlineLvl w:val="0"/>
    </w:pPr>
    <w:rPr>
      <w:rFonts w:ascii="Times New Roman" w:hAnsi="Times New Roman"/>
      <w:b/>
      <w:sz w:val="32"/>
    </w:rPr>
  </w:style>
  <w:style w:type="paragraph" w:customStyle="1" w:styleId="AllowPageBreak">
    <w:name w:val="AllowPageBreak"/>
    <w:rsid w:val="005C1E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1EF6"/>
    <w:pPr>
      <w:tabs>
        <w:tab w:val="left" w:pos="680"/>
      </w:tabs>
      <w:spacing w:before="60" w:after="60"/>
      <w:ind w:left="680" w:hanging="340"/>
    </w:pPr>
  </w:style>
  <w:style w:type="character" w:customStyle="1" w:styleId="Heading2Char">
    <w:name w:val="Heading 2 Char"/>
    <w:basedOn w:val="DefaultParagraphFont"/>
    <w:link w:val="Heading2"/>
    <w:rsid w:val="005C1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EF6"/>
    <w:rPr>
      <w:rFonts w:ascii="Courier New" w:eastAsia="Times New Roman" w:hAnsi="Courier New" w:cs="Times New Roman"/>
      <w:i/>
      <w:szCs w:val="20"/>
      <w:lang w:eastAsia="en-US"/>
    </w:rPr>
  </w:style>
  <w:style w:type="paragraph" w:customStyle="1" w:styleId="HeadingBase">
    <w:name w:val="Heading Base"/>
    <w:rsid w:val="005C1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EF6"/>
    <w:pPr>
      <w:tabs>
        <w:tab w:val="right" w:leader="dot" w:pos="9072"/>
      </w:tabs>
      <w:ind w:left="567"/>
    </w:pPr>
    <w:rPr>
      <w:szCs w:val="22"/>
    </w:rPr>
  </w:style>
  <w:style w:type="paragraph" w:customStyle="1" w:styleId="TOCBase">
    <w:name w:val="TOC Base"/>
    <w:rsid w:val="005C1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EF6"/>
    <w:pPr>
      <w:tabs>
        <w:tab w:val="right" w:leader="dot" w:pos="9072"/>
      </w:tabs>
      <w:spacing w:before="40" w:after="40"/>
      <w:ind w:left="284"/>
    </w:pPr>
    <w:rPr>
      <w:rFonts w:ascii="Times New Roman" w:hAnsi="Times New Roman"/>
    </w:rPr>
  </w:style>
  <w:style w:type="paragraph" w:styleId="TOC1">
    <w:name w:val="toc 1"/>
    <w:basedOn w:val="TOCBase"/>
    <w:next w:val="Normal"/>
    <w:rsid w:val="005C1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EF6"/>
    <w:rPr>
      <w:rFonts w:ascii="Times New Roman" w:eastAsia="Times New Roman" w:hAnsi="Times New Roman" w:cs="Times New Roman"/>
      <w:sz w:val="16"/>
      <w:lang w:eastAsia="en-US"/>
    </w:rPr>
  </w:style>
  <w:style w:type="paragraph" w:styleId="Title">
    <w:name w:val="Title"/>
    <w:basedOn w:val="HeadingBase"/>
    <w:link w:val="TitleChar"/>
    <w:qFormat/>
    <w:rsid w:val="005C1EF6"/>
    <w:pPr>
      <w:spacing w:before="5040"/>
      <w:jc w:val="center"/>
    </w:pPr>
    <w:rPr>
      <w:sz w:val="48"/>
      <w:szCs w:val="72"/>
      <w:lang w:val="en-US"/>
    </w:rPr>
  </w:style>
  <w:style w:type="character" w:customStyle="1" w:styleId="TitleChar">
    <w:name w:val="Title Char"/>
    <w:basedOn w:val="DefaultParagraphFont"/>
    <w:link w:val="Title"/>
    <w:rsid w:val="005C1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EF6"/>
    <w:pPr>
      <w:tabs>
        <w:tab w:val="left" w:pos="3600"/>
        <w:tab w:val="left" w:pos="3958"/>
      </w:tabs>
    </w:pPr>
  </w:style>
  <w:style w:type="paragraph" w:customStyle="1" w:styleId="Note">
    <w:name w:val="Note"/>
    <w:basedOn w:val="BodyText"/>
    <w:rsid w:val="005C1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EF6"/>
    <w:pPr>
      <w:framePr w:wrap="auto" w:hAnchor="text" w:y="6049"/>
    </w:pPr>
    <w:rPr>
      <w:color w:val="000000"/>
      <w:sz w:val="40"/>
    </w:rPr>
  </w:style>
  <w:style w:type="paragraph" w:customStyle="1" w:styleId="TOCTitle">
    <w:name w:val="TOCTitle"/>
    <w:basedOn w:val="Heading1"/>
    <w:rsid w:val="005C1EF6"/>
    <w:pPr>
      <w:spacing w:after="240"/>
      <w:jc w:val="center"/>
      <w:outlineLvl w:val="9"/>
    </w:pPr>
    <w:rPr>
      <w:caps/>
    </w:rPr>
  </w:style>
  <w:style w:type="paragraph" w:customStyle="1" w:styleId="Version">
    <w:name w:val="Version"/>
    <w:rsid w:val="005C1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EF6"/>
    <w:pPr>
      <w:keepNext w:val="0"/>
      <w:tabs>
        <w:tab w:val="right" w:pos="4176"/>
      </w:tabs>
      <w:ind w:left="198" w:hanging="198"/>
    </w:pPr>
    <w:rPr>
      <w:rFonts w:ascii="Garamond" w:hAnsi="Garamond"/>
    </w:rPr>
  </w:style>
  <w:style w:type="paragraph" w:styleId="IndexHeading">
    <w:name w:val="index heading"/>
    <w:basedOn w:val="Normal"/>
    <w:next w:val="Index1"/>
    <w:semiHidden/>
    <w:rsid w:val="005C1EF6"/>
    <w:pPr>
      <w:spacing w:before="120" w:after="120"/>
    </w:pPr>
    <w:rPr>
      <w:rFonts w:ascii="Arial" w:hAnsi="Arial"/>
      <w:b/>
      <w:color w:val="918585"/>
      <w:sz w:val="24"/>
    </w:rPr>
  </w:style>
  <w:style w:type="paragraph" w:styleId="Header">
    <w:name w:val="header"/>
    <w:basedOn w:val="Normal"/>
    <w:link w:val="HeaderChar"/>
    <w:rsid w:val="005C1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EF6"/>
    <w:rPr>
      <w:rFonts w:ascii="Times New Roman" w:eastAsia="Times New Roman" w:hAnsi="Times New Roman" w:cs="Times New Roman"/>
      <w:sz w:val="16"/>
      <w:szCs w:val="20"/>
      <w:lang w:val="en-GB" w:eastAsia="en-US"/>
    </w:rPr>
  </w:style>
  <w:style w:type="paragraph" w:customStyle="1" w:styleId="Chapter">
    <w:name w:val="Chapter"/>
    <w:basedOn w:val="Normal"/>
    <w:rsid w:val="005C1EF6"/>
    <w:pPr>
      <w:spacing w:before="240"/>
    </w:pPr>
    <w:rPr>
      <w:rFonts w:ascii="Times New Roman" w:hAnsi="Times New Roman"/>
      <w:smallCaps/>
      <w:spacing w:val="80"/>
      <w:sz w:val="28"/>
    </w:rPr>
  </w:style>
  <w:style w:type="paragraph" w:customStyle="1" w:styleId="InChapter">
    <w:name w:val="InChapter"/>
    <w:basedOn w:val="Heading3"/>
    <w:rsid w:val="005C1EF6"/>
    <w:pPr>
      <w:spacing w:after="240"/>
      <w:outlineLvl w:val="9"/>
    </w:pPr>
    <w:rPr>
      <w:noProof/>
    </w:rPr>
  </w:style>
  <w:style w:type="paragraph" w:styleId="Index2">
    <w:name w:val="index 2"/>
    <w:basedOn w:val="Normal"/>
    <w:next w:val="Normal"/>
    <w:semiHidden/>
    <w:rsid w:val="005C1EF6"/>
    <w:pPr>
      <w:tabs>
        <w:tab w:val="right" w:pos="4176"/>
      </w:tabs>
      <w:ind w:left="568" w:hanging="284"/>
    </w:pPr>
    <w:rPr>
      <w:rFonts w:ascii="Garamond" w:hAnsi="Garamond"/>
    </w:rPr>
  </w:style>
  <w:style w:type="paragraph" w:customStyle="1" w:styleId="Byline">
    <w:name w:val="Byline"/>
    <w:rsid w:val="005C1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EF6"/>
    <w:pPr>
      <w:tabs>
        <w:tab w:val="clear" w:pos="3600"/>
        <w:tab w:val="clear" w:pos="3958"/>
      </w:tabs>
      <w:jc w:val="right"/>
    </w:pPr>
  </w:style>
  <w:style w:type="character" w:styleId="Emphasis">
    <w:name w:val="Emphasis"/>
    <w:basedOn w:val="DefaultParagraphFont"/>
    <w:qFormat/>
    <w:rsid w:val="005C1EF6"/>
    <w:rPr>
      <w:i/>
    </w:rPr>
  </w:style>
  <w:style w:type="paragraph" w:styleId="Caption">
    <w:name w:val="caption"/>
    <w:basedOn w:val="BodyText"/>
    <w:next w:val="Normal"/>
    <w:qFormat/>
    <w:rsid w:val="005C1EF6"/>
    <w:pPr>
      <w:framePr w:w="2268" w:hSpace="181" w:vSpace="181" w:wrap="around" w:vAnchor="text" w:hAnchor="page" w:x="1135" w:y="285" w:anchorLock="1"/>
    </w:pPr>
    <w:rPr>
      <w:i/>
    </w:rPr>
  </w:style>
  <w:style w:type="paragraph" w:customStyle="1" w:styleId="MiniTOCTitle">
    <w:name w:val="MiniTOCTitle"/>
    <w:basedOn w:val="Heading4"/>
    <w:rsid w:val="005C1EF6"/>
    <w:pPr>
      <w:spacing w:before="240"/>
      <w:outlineLvl w:val="9"/>
    </w:pPr>
    <w:rPr>
      <w:noProof/>
      <w:sz w:val="24"/>
    </w:rPr>
  </w:style>
  <w:style w:type="paragraph" w:customStyle="1" w:styleId="MiniTOCItem">
    <w:name w:val="MiniTOCItem"/>
    <w:basedOn w:val="ListBullet"/>
    <w:rsid w:val="005C1EF6"/>
    <w:pPr>
      <w:numPr>
        <w:numId w:val="0"/>
      </w:numPr>
      <w:tabs>
        <w:tab w:val="right" w:leader="dot" w:pos="6521"/>
      </w:tabs>
      <w:spacing w:before="0" w:after="0"/>
    </w:pPr>
  </w:style>
  <w:style w:type="paragraph" w:customStyle="1" w:styleId="TOFTitle">
    <w:name w:val="TOFTitle"/>
    <w:basedOn w:val="TOCTitle"/>
    <w:rsid w:val="005C1EF6"/>
  </w:style>
  <w:style w:type="paragraph" w:styleId="TableofFigures">
    <w:name w:val="table of figures"/>
    <w:basedOn w:val="Normal"/>
    <w:next w:val="Normal"/>
    <w:semiHidden/>
    <w:rsid w:val="005C1EF6"/>
    <w:pPr>
      <w:tabs>
        <w:tab w:val="right" w:leader="dot" w:pos="9072"/>
      </w:tabs>
      <w:ind w:left="970" w:hanging="403"/>
    </w:pPr>
    <w:rPr>
      <w:rFonts w:ascii="Times New Roman" w:hAnsi="Times New Roman"/>
      <w:b/>
    </w:rPr>
  </w:style>
  <w:style w:type="paragraph" w:styleId="ListNumber">
    <w:name w:val="List Number"/>
    <w:basedOn w:val="List"/>
    <w:rsid w:val="005C1EF6"/>
    <w:pPr>
      <w:numPr>
        <w:numId w:val="11"/>
      </w:numPr>
    </w:pPr>
  </w:style>
  <w:style w:type="character" w:customStyle="1" w:styleId="WingdingSymbols">
    <w:name w:val="Wingding Symbols"/>
    <w:rsid w:val="005C1EF6"/>
    <w:rPr>
      <w:rFonts w:ascii="Wingdings" w:hAnsi="Wingdings"/>
    </w:rPr>
  </w:style>
  <w:style w:type="paragraph" w:customStyle="1" w:styleId="TableHeading">
    <w:name w:val="Table Heading"/>
    <w:basedOn w:val="HeadingBase"/>
    <w:rsid w:val="005C1EF6"/>
    <w:pPr>
      <w:keepLines/>
      <w:pBdr>
        <w:bottom w:val="single" w:sz="6" w:space="1" w:color="918585"/>
      </w:pBdr>
      <w:spacing w:before="240"/>
    </w:pPr>
  </w:style>
  <w:style w:type="character" w:customStyle="1" w:styleId="HotSpot">
    <w:name w:val="HotSpot"/>
    <w:rsid w:val="005C1EF6"/>
    <w:rPr>
      <w:color w:val="0033CC"/>
      <w:u w:val="none"/>
    </w:rPr>
  </w:style>
  <w:style w:type="paragraph" w:customStyle="1" w:styleId="BodyTextRight">
    <w:name w:val="Body Text Right"/>
    <w:basedOn w:val="BodyText"/>
    <w:rsid w:val="005C1EF6"/>
    <w:pPr>
      <w:spacing w:before="0" w:after="0"/>
      <w:jc w:val="right"/>
    </w:pPr>
  </w:style>
  <w:style w:type="paragraph" w:styleId="Index3">
    <w:name w:val="index 3"/>
    <w:basedOn w:val="ListNumber2"/>
    <w:next w:val="Normal"/>
    <w:semiHidden/>
    <w:rsid w:val="005C1EF6"/>
    <w:pPr>
      <w:numPr>
        <w:numId w:val="0"/>
      </w:numPr>
      <w:tabs>
        <w:tab w:val="right" w:leader="dot" w:pos="4176"/>
      </w:tabs>
    </w:pPr>
  </w:style>
  <w:style w:type="paragraph" w:styleId="ListNumber2">
    <w:name w:val="List Number 2"/>
    <w:basedOn w:val="List2"/>
    <w:rsid w:val="005C1EF6"/>
    <w:pPr>
      <w:numPr>
        <w:numId w:val="10"/>
      </w:numPr>
      <w:tabs>
        <w:tab w:val="clear" w:pos="1060"/>
      </w:tabs>
    </w:pPr>
  </w:style>
  <w:style w:type="paragraph" w:customStyle="1" w:styleId="MarginNote">
    <w:name w:val="Margin Note"/>
    <w:basedOn w:val="BodyText"/>
    <w:rsid w:val="005C1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EF6"/>
    <w:rPr>
      <w:sz w:val="32"/>
    </w:rPr>
  </w:style>
  <w:style w:type="paragraph" w:customStyle="1" w:styleId="HeadingProcedure">
    <w:name w:val="Heading Procedure"/>
    <w:basedOn w:val="HeadingBase"/>
    <w:next w:val="Normal"/>
    <w:rsid w:val="005C1EF6"/>
    <w:pPr>
      <w:tabs>
        <w:tab w:val="left" w:pos="0"/>
      </w:tabs>
      <w:spacing w:before="120" w:after="60"/>
    </w:pPr>
    <w:rPr>
      <w:i/>
      <w:color w:val="918585"/>
      <w:sz w:val="22"/>
    </w:rPr>
  </w:style>
  <w:style w:type="paragraph" w:customStyle="1" w:styleId="TableBodyText">
    <w:name w:val="Table Body Text"/>
    <w:basedOn w:val="BodyText"/>
    <w:rsid w:val="005C1EF6"/>
    <w:pPr>
      <w:spacing w:before="60" w:after="60"/>
    </w:pPr>
  </w:style>
  <w:style w:type="paragraph" w:styleId="ListContinue">
    <w:name w:val="List Continue"/>
    <w:basedOn w:val="List"/>
    <w:rsid w:val="005C1EF6"/>
    <w:pPr>
      <w:ind w:firstLine="0"/>
    </w:pPr>
  </w:style>
  <w:style w:type="paragraph" w:customStyle="1" w:styleId="ListNote">
    <w:name w:val="List Note"/>
    <w:basedOn w:val="List"/>
    <w:rsid w:val="005C1EF6"/>
    <w:pPr>
      <w:pBdr>
        <w:top w:val="single" w:sz="6" w:space="2" w:color="918585"/>
        <w:bottom w:val="single" w:sz="6" w:space="2" w:color="918585"/>
      </w:pBdr>
      <w:tabs>
        <w:tab w:val="left" w:pos="1021"/>
      </w:tabs>
      <w:ind w:firstLine="0"/>
    </w:pPr>
  </w:style>
  <w:style w:type="paragraph" w:customStyle="1" w:styleId="Warning">
    <w:name w:val="Warning"/>
    <w:basedOn w:val="BodyText"/>
    <w:rsid w:val="005C1EF6"/>
    <w:pPr>
      <w:shd w:val="clear" w:color="auto" w:fill="D9D9D9"/>
      <w:tabs>
        <w:tab w:val="left" w:pos="992"/>
      </w:tabs>
      <w:ind w:left="119" w:right="119"/>
    </w:pPr>
    <w:rPr>
      <w:sz w:val="20"/>
    </w:rPr>
  </w:style>
  <w:style w:type="paragraph" w:customStyle="1" w:styleId="MarginIcons">
    <w:name w:val="Margin Icons"/>
    <w:basedOn w:val="BodyText"/>
    <w:rsid w:val="005C1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EF6"/>
    <w:rPr>
      <w:rFonts w:ascii="Courier New" w:hAnsi="Courier New"/>
    </w:rPr>
  </w:style>
  <w:style w:type="paragraph" w:customStyle="1" w:styleId="NoteBullet">
    <w:name w:val="Note Bullet"/>
    <w:basedOn w:val="Note"/>
    <w:rsid w:val="005C1EF6"/>
    <w:pPr>
      <w:tabs>
        <w:tab w:val="clear" w:pos="680"/>
      </w:tabs>
      <w:spacing w:before="60" w:after="60"/>
    </w:pPr>
  </w:style>
  <w:style w:type="paragraph" w:customStyle="1" w:styleId="SubHeading2">
    <w:name w:val="SubHeading2"/>
    <w:basedOn w:val="HeadingBase"/>
    <w:rsid w:val="005C1EF6"/>
    <w:pPr>
      <w:spacing w:before="240" w:after="60"/>
    </w:pPr>
    <w:rPr>
      <w:sz w:val="20"/>
    </w:rPr>
  </w:style>
  <w:style w:type="paragraph" w:customStyle="1" w:styleId="SubHeading1">
    <w:name w:val="SubHeading1"/>
    <w:basedOn w:val="HeadingBase"/>
    <w:rsid w:val="005C1EF6"/>
    <w:pPr>
      <w:spacing w:before="240" w:after="60"/>
    </w:pPr>
    <w:rPr>
      <w:color w:val="918585"/>
      <w:sz w:val="22"/>
    </w:rPr>
  </w:style>
  <w:style w:type="paragraph" w:customStyle="1" w:styleId="SideHeading">
    <w:name w:val="Side Heading"/>
    <w:basedOn w:val="HeadingBase"/>
    <w:rsid w:val="005C1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EF6"/>
    <w:pPr>
      <w:numPr>
        <w:numId w:val="12"/>
      </w:numPr>
    </w:pPr>
  </w:style>
  <w:style w:type="paragraph" w:styleId="PlainText">
    <w:name w:val="Plain Text"/>
    <w:basedOn w:val="Normal"/>
    <w:link w:val="PlainTextChar"/>
    <w:rsid w:val="005C1EF6"/>
    <w:rPr>
      <w:sz w:val="20"/>
    </w:rPr>
  </w:style>
  <w:style w:type="character" w:customStyle="1" w:styleId="PlainTextChar">
    <w:name w:val="Plain Text Char"/>
    <w:basedOn w:val="DefaultParagraphFont"/>
    <w:link w:val="PlainText"/>
    <w:rsid w:val="005C1EF6"/>
    <w:rPr>
      <w:rFonts w:ascii="Courier New" w:eastAsia="Times New Roman" w:hAnsi="Courier New" w:cs="Times New Roman"/>
      <w:sz w:val="20"/>
      <w:szCs w:val="20"/>
      <w:lang w:eastAsia="en-US"/>
    </w:rPr>
  </w:style>
  <w:style w:type="character" w:customStyle="1" w:styleId="MenuOption">
    <w:name w:val="Menu Option"/>
    <w:basedOn w:val="DefaultParagraphFont"/>
    <w:rsid w:val="005C1EF6"/>
    <w:rPr>
      <w:b/>
      <w:smallCaps/>
    </w:rPr>
  </w:style>
  <w:style w:type="paragraph" w:customStyle="1" w:styleId="TableListNumber">
    <w:name w:val="Table List Number"/>
    <w:basedOn w:val="ListNumber"/>
    <w:rsid w:val="005C1EF6"/>
    <w:pPr>
      <w:numPr>
        <w:numId w:val="0"/>
      </w:numPr>
    </w:pPr>
  </w:style>
  <w:style w:type="paragraph" w:styleId="TOC4">
    <w:name w:val="toc 4"/>
    <w:basedOn w:val="TOCBase"/>
    <w:next w:val="Normal"/>
    <w:semiHidden/>
    <w:rsid w:val="005C1EF6"/>
    <w:pPr>
      <w:tabs>
        <w:tab w:val="right" w:leader="dot" w:pos="9071"/>
      </w:tabs>
      <w:ind w:left="1701"/>
    </w:pPr>
  </w:style>
  <w:style w:type="paragraph" w:customStyle="1" w:styleId="ListAlpha">
    <w:name w:val="List Alpha"/>
    <w:basedOn w:val="List"/>
    <w:rsid w:val="005C1EF6"/>
    <w:pPr>
      <w:numPr>
        <w:numId w:val="9"/>
      </w:numPr>
    </w:pPr>
  </w:style>
  <w:style w:type="paragraph" w:customStyle="1" w:styleId="ListAlpha2">
    <w:name w:val="List Alpha 2"/>
    <w:basedOn w:val="List2"/>
    <w:rsid w:val="005C1EF6"/>
    <w:pPr>
      <w:numPr>
        <w:numId w:val="8"/>
      </w:numPr>
    </w:pPr>
  </w:style>
  <w:style w:type="paragraph" w:styleId="List3">
    <w:name w:val="List 3"/>
    <w:basedOn w:val="BodyText"/>
    <w:rsid w:val="005C1EF6"/>
    <w:pPr>
      <w:tabs>
        <w:tab w:val="left" w:pos="1021"/>
      </w:tabs>
      <w:spacing w:before="60" w:after="60"/>
      <w:ind w:left="1020" w:hanging="340"/>
    </w:pPr>
  </w:style>
  <w:style w:type="paragraph" w:styleId="List4">
    <w:name w:val="List 4"/>
    <w:basedOn w:val="BodyText"/>
    <w:rsid w:val="005C1EF6"/>
    <w:pPr>
      <w:tabs>
        <w:tab w:val="left" w:pos="1361"/>
      </w:tabs>
      <w:spacing w:before="60" w:after="60"/>
      <w:ind w:left="1361" w:hanging="340"/>
    </w:pPr>
  </w:style>
  <w:style w:type="paragraph" w:styleId="List5">
    <w:name w:val="List 5"/>
    <w:basedOn w:val="BodyText"/>
    <w:rsid w:val="005C1EF6"/>
    <w:pPr>
      <w:tabs>
        <w:tab w:val="left" w:pos="1701"/>
      </w:tabs>
      <w:spacing w:before="60" w:after="60"/>
      <w:ind w:left="1701" w:hanging="340"/>
    </w:pPr>
  </w:style>
  <w:style w:type="paragraph" w:styleId="ListBullet3">
    <w:name w:val="List Bullet 3"/>
    <w:basedOn w:val="List3"/>
    <w:rsid w:val="005C1EF6"/>
    <w:pPr>
      <w:numPr>
        <w:numId w:val="15"/>
      </w:numPr>
      <w:tabs>
        <w:tab w:val="clear" w:pos="1021"/>
      </w:tabs>
      <w:ind w:left="1037" w:hanging="357"/>
    </w:pPr>
  </w:style>
  <w:style w:type="paragraph" w:styleId="ListBullet4">
    <w:name w:val="List Bullet 4"/>
    <w:basedOn w:val="List4"/>
    <w:rsid w:val="005C1EF6"/>
    <w:pPr>
      <w:numPr>
        <w:numId w:val="3"/>
      </w:numPr>
    </w:pPr>
  </w:style>
  <w:style w:type="paragraph" w:styleId="ListBullet5">
    <w:name w:val="List Bullet 5"/>
    <w:basedOn w:val="List5"/>
    <w:rsid w:val="005C1EF6"/>
    <w:pPr>
      <w:numPr>
        <w:numId w:val="4"/>
      </w:numPr>
    </w:pPr>
  </w:style>
  <w:style w:type="paragraph" w:styleId="ListContinue2">
    <w:name w:val="List Continue 2"/>
    <w:basedOn w:val="List2"/>
    <w:rsid w:val="005C1EF6"/>
    <w:pPr>
      <w:ind w:firstLine="0"/>
    </w:pPr>
  </w:style>
  <w:style w:type="paragraph" w:styleId="ListContinue3">
    <w:name w:val="List Continue 3"/>
    <w:basedOn w:val="List3"/>
    <w:rsid w:val="005C1EF6"/>
    <w:pPr>
      <w:ind w:left="1021" w:firstLine="0"/>
    </w:pPr>
  </w:style>
  <w:style w:type="paragraph" w:styleId="ListContinue4">
    <w:name w:val="List Continue 4"/>
    <w:basedOn w:val="List4"/>
    <w:rsid w:val="005C1EF6"/>
    <w:pPr>
      <w:ind w:firstLine="0"/>
    </w:pPr>
  </w:style>
  <w:style w:type="paragraph" w:styleId="ListContinue5">
    <w:name w:val="List Continue 5"/>
    <w:basedOn w:val="List5"/>
    <w:rsid w:val="005C1EF6"/>
    <w:pPr>
      <w:ind w:firstLine="0"/>
    </w:pPr>
  </w:style>
  <w:style w:type="paragraph" w:styleId="ListNumber3">
    <w:name w:val="List Number 3"/>
    <w:basedOn w:val="List3"/>
    <w:rsid w:val="005C1EF6"/>
    <w:pPr>
      <w:numPr>
        <w:numId w:val="5"/>
      </w:numPr>
    </w:pPr>
  </w:style>
  <w:style w:type="paragraph" w:styleId="ListNumber4">
    <w:name w:val="List Number 4"/>
    <w:basedOn w:val="List4"/>
    <w:rsid w:val="005C1EF6"/>
    <w:pPr>
      <w:numPr>
        <w:numId w:val="6"/>
      </w:numPr>
    </w:pPr>
  </w:style>
  <w:style w:type="paragraph" w:styleId="ListNumber5">
    <w:name w:val="List Number 5"/>
    <w:basedOn w:val="List5"/>
    <w:rsid w:val="005C1EF6"/>
    <w:pPr>
      <w:numPr>
        <w:numId w:val="7"/>
      </w:numPr>
    </w:pPr>
  </w:style>
  <w:style w:type="paragraph" w:styleId="BlockText">
    <w:name w:val="Block Text"/>
    <w:basedOn w:val="Normal"/>
    <w:rsid w:val="005C1EF6"/>
    <w:pPr>
      <w:spacing w:after="120"/>
      <w:ind w:left="1440" w:right="1440"/>
    </w:pPr>
  </w:style>
  <w:style w:type="character" w:customStyle="1" w:styleId="Subscript">
    <w:name w:val="Subscript"/>
    <w:basedOn w:val="DefaultParagraphFont"/>
    <w:rsid w:val="005C1EF6"/>
    <w:rPr>
      <w:sz w:val="16"/>
      <w:vertAlign w:val="subscript"/>
    </w:rPr>
  </w:style>
  <w:style w:type="character" w:customStyle="1" w:styleId="Superscript">
    <w:name w:val="Superscript"/>
    <w:basedOn w:val="DefaultParagraphFont"/>
    <w:rsid w:val="005C1EF6"/>
    <w:rPr>
      <w:sz w:val="16"/>
      <w:vertAlign w:val="superscript"/>
    </w:rPr>
  </w:style>
  <w:style w:type="character" w:customStyle="1" w:styleId="Symbols">
    <w:name w:val="Symbols"/>
    <w:basedOn w:val="DefaultParagraphFont"/>
    <w:rsid w:val="005C1EF6"/>
    <w:rPr>
      <w:rFonts w:ascii="Symbol" w:hAnsi="Symbol"/>
    </w:rPr>
  </w:style>
  <w:style w:type="character" w:customStyle="1" w:styleId="MenuOptions">
    <w:name w:val="Menu Options"/>
    <w:basedOn w:val="DefaultParagraphFont"/>
    <w:rsid w:val="005C1EF6"/>
    <w:rPr>
      <w:rFonts w:ascii="Arial Narrow" w:hAnsi="Arial Narrow"/>
      <w:smallCaps/>
    </w:rPr>
  </w:style>
  <w:style w:type="character" w:customStyle="1" w:styleId="Buttons">
    <w:name w:val="Buttons"/>
    <w:basedOn w:val="DefaultParagraphFont"/>
    <w:rsid w:val="005C1EF6"/>
    <w:rPr>
      <w:b/>
    </w:rPr>
  </w:style>
  <w:style w:type="character" w:customStyle="1" w:styleId="Underlined">
    <w:name w:val="Underlined"/>
    <w:basedOn w:val="DefaultParagraphFont"/>
    <w:rsid w:val="005C1EF6"/>
    <w:rPr>
      <w:u w:val="single"/>
    </w:rPr>
  </w:style>
  <w:style w:type="paragraph" w:customStyle="1" w:styleId="TableBodyTextRight">
    <w:name w:val="Table Body Text Right"/>
    <w:basedOn w:val="TableBodyText"/>
    <w:rsid w:val="005C1EF6"/>
    <w:pPr>
      <w:widowControl w:val="0"/>
      <w:autoSpaceDE w:val="0"/>
      <w:autoSpaceDN w:val="0"/>
      <w:adjustRightInd w:val="0"/>
      <w:jc w:val="right"/>
    </w:pPr>
    <w:rPr>
      <w:rFonts w:cs="Arial"/>
      <w:szCs w:val="18"/>
    </w:rPr>
  </w:style>
  <w:style w:type="paragraph" w:customStyle="1" w:styleId="CopyrightText">
    <w:name w:val="Copyright Text"/>
    <w:basedOn w:val="BodyText"/>
    <w:rsid w:val="005C1EF6"/>
    <w:rPr>
      <w:sz w:val="18"/>
    </w:rPr>
  </w:style>
  <w:style w:type="paragraph" w:customStyle="1" w:styleId="BodySmallRight">
    <w:name w:val="Body Small Right"/>
    <w:basedOn w:val="BodyTextRight"/>
    <w:rsid w:val="005C1EF6"/>
    <w:rPr>
      <w:sz w:val="18"/>
      <w:szCs w:val="18"/>
    </w:rPr>
  </w:style>
  <w:style w:type="paragraph" w:customStyle="1" w:styleId="MarginEdition">
    <w:name w:val="Margin Edition"/>
    <w:basedOn w:val="MarginNote"/>
    <w:rsid w:val="005C1EF6"/>
    <w:pPr>
      <w:spacing w:before="0" w:after="0"/>
    </w:pPr>
    <w:rPr>
      <w:rFonts w:ascii="Times New Roman" w:hAnsi="Times New Roman"/>
      <w:color w:val="999999"/>
    </w:rPr>
  </w:style>
  <w:style w:type="paragraph" w:customStyle="1" w:styleId="Spacer">
    <w:name w:val="Spacer"/>
    <w:basedOn w:val="Normal"/>
    <w:rsid w:val="005C1EF6"/>
    <w:rPr>
      <w:sz w:val="2"/>
      <w:szCs w:val="2"/>
    </w:rPr>
  </w:style>
  <w:style w:type="character" w:customStyle="1" w:styleId="Small">
    <w:name w:val="Small"/>
    <w:basedOn w:val="DefaultParagraphFont"/>
    <w:rsid w:val="005C1EF6"/>
    <w:rPr>
      <w:sz w:val="16"/>
    </w:rPr>
  </w:style>
  <w:style w:type="paragraph" w:customStyle="1" w:styleId="WideTable">
    <w:name w:val="Wide Table"/>
    <w:basedOn w:val="Normal"/>
    <w:rsid w:val="005C1EF6"/>
    <w:pPr>
      <w:ind w:left="-1418"/>
    </w:pPr>
    <w:rPr>
      <w:sz w:val="2"/>
      <w:szCs w:val="2"/>
    </w:rPr>
  </w:style>
  <w:style w:type="character" w:styleId="PageNumber">
    <w:name w:val="page number"/>
    <w:basedOn w:val="DefaultParagraphFont"/>
    <w:rsid w:val="005C1EF6"/>
  </w:style>
  <w:style w:type="paragraph" w:styleId="Quote">
    <w:name w:val="Quote"/>
    <w:basedOn w:val="Heading1"/>
    <w:link w:val="QuoteChar"/>
    <w:qFormat/>
    <w:rsid w:val="005C1EF6"/>
    <w:rPr>
      <w:b w:val="0"/>
      <w:sz w:val="72"/>
      <w:szCs w:val="72"/>
      <w:lang w:val="en-NZ"/>
    </w:rPr>
  </w:style>
  <w:style w:type="character" w:customStyle="1" w:styleId="QuoteChar">
    <w:name w:val="Quote Char"/>
    <w:basedOn w:val="DefaultParagraphFont"/>
    <w:link w:val="Quote"/>
    <w:rsid w:val="005C1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EF6"/>
    <w:pPr>
      <w:pageBreakBefore/>
    </w:pPr>
  </w:style>
  <w:style w:type="paragraph" w:customStyle="1" w:styleId="Border">
    <w:name w:val="Border"/>
    <w:basedOn w:val="Normal"/>
    <w:qFormat/>
    <w:rsid w:val="005C1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EF6"/>
    <w:rPr>
      <w:b/>
      <w:bCs/>
      <w:i/>
      <w:iCs/>
      <w:color w:val="auto"/>
    </w:rPr>
  </w:style>
  <w:style w:type="paragraph" w:styleId="IntenseQuote">
    <w:name w:val="Intense Quote"/>
    <w:basedOn w:val="Normal"/>
    <w:next w:val="Normal"/>
    <w:link w:val="IntenseQuoteChar"/>
    <w:uiPriority w:val="30"/>
    <w:qFormat/>
    <w:rsid w:val="005C1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EF6"/>
    <w:rPr>
      <w:smallCaps/>
      <w:color w:val="auto"/>
      <w:u w:val="single"/>
    </w:rPr>
  </w:style>
  <w:style w:type="character" w:styleId="IntenseReference">
    <w:name w:val="Intense Reference"/>
    <w:basedOn w:val="DefaultParagraphFont"/>
    <w:uiPriority w:val="32"/>
    <w:qFormat/>
    <w:rsid w:val="005C1EF6"/>
    <w:rPr>
      <w:b/>
      <w:bCs/>
      <w:smallCaps/>
      <w:color w:val="auto"/>
      <w:spacing w:val="5"/>
      <w:u w:val="single"/>
    </w:rPr>
  </w:style>
  <w:style w:type="paragraph" w:customStyle="1" w:styleId="2ColumnHeading">
    <w:name w:val="2Column Heading"/>
    <w:basedOn w:val="BodyText"/>
    <w:qFormat/>
    <w:rsid w:val="005C1EF6"/>
    <w:pPr>
      <w:spacing w:after="60"/>
      <w:ind w:left="-2268"/>
    </w:pPr>
    <w:rPr>
      <w:b/>
    </w:rPr>
  </w:style>
  <w:style w:type="paragraph" w:customStyle="1" w:styleId="Heading1TOC">
    <w:name w:val="Heading1 TOC"/>
    <w:basedOn w:val="Normal"/>
    <w:qFormat/>
    <w:rsid w:val="005C1EF6"/>
    <w:pPr>
      <w:spacing w:before="240" w:after="120"/>
    </w:pPr>
    <w:rPr>
      <w:rFonts w:ascii="Times New Roman" w:hAnsi="Times New Roman"/>
      <w:b/>
      <w:sz w:val="32"/>
    </w:rPr>
  </w:style>
  <w:style w:type="paragraph" w:customStyle="1" w:styleId="Heading2TOC">
    <w:name w:val="Heading2 TOC"/>
    <w:basedOn w:val="Normal"/>
    <w:qFormat/>
    <w:rsid w:val="005C1EF6"/>
    <w:pPr>
      <w:spacing w:before="240" w:after="60"/>
    </w:pPr>
    <w:rPr>
      <w:rFonts w:ascii="Times New Roman" w:hAnsi="Times New Roman"/>
      <w:b/>
      <w:sz w:val="28"/>
    </w:rPr>
  </w:style>
  <w:style w:type="character" w:customStyle="1" w:styleId="Underline">
    <w:name w:val="Underline"/>
    <w:basedOn w:val="DefaultParagraphFont"/>
    <w:qFormat/>
    <w:rsid w:val="005C1EF6"/>
    <w:rPr>
      <w:u w:val="single"/>
    </w:rPr>
  </w:style>
  <w:style w:type="character" w:customStyle="1" w:styleId="BoldandItalics">
    <w:name w:val="Bold and Italics"/>
    <w:qFormat/>
    <w:rsid w:val="005C1EF6"/>
    <w:rPr>
      <w:b/>
      <w:i/>
      <w:u w:val="none"/>
    </w:rPr>
  </w:style>
  <w:style w:type="paragraph" w:styleId="BalloonText">
    <w:name w:val="Balloon Text"/>
    <w:basedOn w:val="Normal"/>
    <w:link w:val="BalloonTextChar"/>
    <w:rsid w:val="005C1EF6"/>
    <w:rPr>
      <w:rFonts w:ascii="Tahoma" w:hAnsi="Tahoma" w:cs="Tahoma"/>
      <w:sz w:val="16"/>
      <w:szCs w:val="16"/>
    </w:rPr>
  </w:style>
  <w:style w:type="character" w:customStyle="1" w:styleId="BalloonTextChar">
    <w:name w:val="Balloon Text Char"/>
    <w:basedOn w:val="DefaultParagraphFont"/>
    <w:link w:val="BalloonText"/>
    <w:rsid w:val="005C1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EF6"/>
    <w:rPr>
      <w:b/>
      <w:color w:val="660033"/>
      <w:spacing w:val="0"/>
    </w:rPr>
  </w:style>
  <w:style w:type="paragraph" w:customStyle="1" w:styleId="Nameditemlist">
    <w:name w:val="Named item list"/>
    <w:basedOn w:val="BodyText"/>
    <w:qFormat/>
    <w:rsid w:val="005C1E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1638</Words>
  <Characters>10920</Characters>
  <Application>Microsoft Office Word</Application>
  <DocSecurity>0</DocSecurity>
  <Lines>369</Lines>
  <Paragraphs>215</Paragraphs>
  <ScaleCrop>false</ScaleCrop>
  <Company>Author-it Software Corporation Ltd.</Company>
  <LinksUpToDate>false</LinksUpToDate>
  <CharactersWithSpaces>12474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AURRTR3002 Install marine electronic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2013-01-15T09:57:00Z</dcterms:created>
  <dcterms:modified xsi:type="dcterms:W3CDTF">2013-01-15T09:57:00Z</dcterms:modified>
</cp:coreProperties>
</file>