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15DC" w:rsidP="008C15DC">
      <w:pPr>
        <w:pStyle w:val="Title"/>
      </w:pPr>
      <w:r>
        <w:fldChar w:fldCharType="begin"/>
      </w:r>
      <w:r>
        <w:instrText xml:space="preserve"> TITLE   \* MERGEFORMAT </w:instrText>
      </w:r>
      <w:r>
        <w:fldChar w:fldCharType="separate"/>
      </w:r>
      <w:r>
        <w:t>AURPTA2008 Service and repair post-hole digging systems</w:t>
      </w:r>
      <w:r>
        <w:fldChar w:fldCharType="end"/>
      </w:r>
    </w:p>
    <w:p w:rsidR="008C15DC" w:rsidP="008C15DC">
      <w:pPr>
        <w:pStyle w:val="Version"/>
        <w:sectPr w:rsidSect="004A2B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2B77" w:rsidP="004A2B77">
      <w:pPr>
        <w:pStyle w:val="SuperHeading"/>
      </w:pPr>
      <w:r w:rsidRPr="004A2B77">
        <w:t>AURPTA2008 Service and repair post-hole digging systems</w:t>
      </w:r>
    </w:p>
    <w:p w:rsidR="00000000" w:rsidRPr="004A2B77" w:rsidP="004A2B77">
      <w:pPr>
        <w:pStyle w:val="Heading1"/>
      </w:pPr>
      <w:bookmarkStart w:id="1" w:name="O_484117"/>
      <w:bookmarkEnd w:id="1"/>
      <w:r w:rsidRPr="004A2B77">
        <w:t>Modification History</w:t>
      </w:r>
    </w:p>
    <w:tbl>
      <w:tblPr>
        <w:tblW w:w="9637" w:type="dxa"/>
        <w:tblLayout w:type="fixed"/>
        <w:tblCellMar>
          <w:left w:w="62" w:type="dxa"/>
          <w:right w:w="62" w:type="dxa"/>
        </w:tblCellMar>
        <w:tblLook w:val="0000"/>
      </w:tblPr>
      <w:tblGrid>
        <w:gridCol w:w="2976"/>
        <w:gridCol w:w="6661"/>
      </w:tblGrid>
      <w:tr w:rsidTr="008C15D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Comment</w:t>
            </w:r>
          </w:p>
        </w:tc>
      </w:tr>
      <w:tr w:rsidTr="008C15D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Replaces AURP245671B Service and repair post-hole digging systems</w:t>
            </w:r>
          </w:p>
          <w:p w:rsidR="00000000" w:rsidRPr="004A2B77" w:rsidP="004A2B77">
            <w:pPr>
              <w:pStyle w:val="BodyText"/>
            </w:pPr>
            <w:r w:rsidRPr="004A2B77">
              <w:t>Unit code updated to meet policy requirements</w:t>
            </w:r>
          </w:p>
          <w:p w:rsidR="00000000" w:rsidRPr="004A2B77" w:rsidP="004A2B77">
            <w:pPr>
              <w:pStyle w:val="BodyText"/>
            </w:pPr>
            <w:r w:rsidRPr="004A2B77">
              <w:t>Reference to OHS legislation replaced with new WHS legislation</w:t>
            </w:r>
          </w:p>
        </w:tc>
      </w:tr>
    </w:tbl>
    <w:p w:rsidR="00000000" w:rsidRPr="004A2B77" w:rsidP="004A2B77">
      <w:pPr>
        <w:pStyle w:val="BodyText"/>
      </w:pPr>
    </w:p>
    <w:p w:rsidR="00000000" w:rsidRPr="004A2B77" w:rsidP="004A2B77">
      <w:pPr>
        <w:pStyle w:val="AllowPageBreak"/>
      </w:pPr>
    </w:p>
    <w:p w:rsidR="00000000" w:rsidRPr="004A2B77" w:rsidP="004A2B77">
      <w:pPr>
        <w:pStyle w:val="Heading1"/>
      </w:pPr>
      <w:bookmarkStart w:id="2" w:name="O_484115"/>
      <w:bookmarkEnd w:id="2"/>
      <w:r w:rsidRPr="004A2B77">
        <w:t>Unit Descriptor</w:t>
      </w:r>
    </w:p>
    <w:tbl>
      <w:tblPr>
        <w:tblW w:w="0" w:type="auto"/>
        <w:tblLayout w:type="fixed"/>
        <w:tblCellMar>
          <w:left w:w="62" w:type="dxa"/>
          <w:right w:w="62" w:type="dxa"/>
        </w:tblCellMar>
        <w:tblLook w:val="0000"/>
      </w:tblPr>
      <w:tblGrid>
        <w:gridCol w:w="2669"/>
        <w:gridCol w:w="5853"/>
      </w:tblGrid>
      <w:tr w:rsidTr="008C15DC">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This unit of competency describes the skills and knowledge required to rectify faults in post-hole digging systems.</w:t>
            </w:r>
          </w:p>
          <w:p w:rsidR="00000000" w:rsidRPr="004A2B77" w:rsidP="004A2B77">
            <w:pPr>
              <w:pStyle w:val="BodyText"/>
            </w:pPr>
            <w:r w:rsidRPr="004A2B77">
              <w:t>No licensing, legislative, regulatory or certification requirements apply to this unit at the time of publ</w:t>
            </w:r>
            <w:r w:rsidRPr="004A2B77">
              <w:t xml:space="preserve">ication. </w:t>
            </w:r>
          </w:p>
        </w:tc>
      </w:tr>
    </w:tbl>
    <w:p w:rsidR="008C15DC" w:rsidP="004A2B77">
      <w:pPr>
        <w:pStyle w:val="BodyText"/>
      </w:pPr>
    </w:p>
    <w:p w:rsidR="008C15DC" w:rsidP="004A2B77">
      <w:pPr>
        <w:pStyle w:val="BodyText"/>
      </w:pPr>
    </w:p>
    <w:p w:rsidR="00000000" w:rsidRPr="004A2B77" w:rsidP="004A2B77">
      <w:pPr>
        <w:pStyle w:val="Heading1"/>
      </w:pPr>
      <w:bookmarkStart w:id="3" w:name="O_484103"/>
      <w:bookmarkEnd w:id="3"/>
      <w:r w:rsidRPr="004A2B77">
        <w:t>Application of the Unit</w:t>
      </w:r>
    </w:p>
    <w:tbl>
      <w:tblPr>
        <w:tblW w:w="0" w:type="auto"/>
        <w:tblLayout w:type="fixed"/>
        <w:tblCellMar>
          <w:left w:w="62" w:type="dxa"/>
          <w:right w:w="62" w:type="dxa"/>
        </w:tblCellMar>
        <w:tblLook w:val="0000"/>
      </w:tblPr>
      <w:tblGrid>
        <w:gridCol w:w="2755"/>
        <w:gridCol w:w="5767"/>
      </w:tblGrid>
      <w:tr w:rsidTr="008C15DC">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 xml:space="preserve">This unit applies to individuals who undertake servicing and repair of post-hole digging systems in the outdoor power equipment industry. </w:t>
            </w:r>
          </w:p>
          <w:p w:rsidR="00000000" w:rsidRPr="004A2B77" w:rsidP="004A2B77">
            <w:pPr>
              <w:pStyle w:val="BodyText"/>
            </w:pPr>
            <w:r w:rsidRPr="004A2B77">
              <w:t>Post-hole digging systems may be powered by electric, diesel and petrol engines and may be hand-held equipment or fitted to tractors or platforms.</w:t>
            </w:r>
          </w:p>
        </w:tc>
      </w:tr>
    </w:tbl>
    <w:p w:rsidR="008C15DC" w:rsidP="004A2B77">
      <w:pPr>
        <w:pStyle w:val="BodyText"/>
      </w:pPr>
    </w:p>
    <w:p w:rsidR="008C15DC" w:rsidP="004A2B77">
      <w:pPr>
        <w:pStyle w:val="BodyText"/>
      </w:pPr>
    </w:p>
    <w:p w:rsidR="00000000" w:rsidRPr="004A2B77" w:rsidP="004A2B77">
      <w:pPr>
        <w:pStyle w:val="Heading1"/>
      </w:pPr>
      <w:bookmarkStart w:id="4" w:name="O_484111"/>
      <w:bookmarkEnd w:id="4"/>
      <w:r w:rsidRPr="004A2B77">
        <w:t>Licensing/Regulatory Information</w:t>
      </w:r>
    </w:p>
    <w:p w:rsidR="00000000" w:rsidRPr="004A2B77" w:rsidP="004A2B77">
      <w:pPr>
        <w:pStyle w:val="BodyText"/>
      </w:pPr>
      <w:r w:rsidRPr="004A2B77">
        <w:t>Not applicable.</w:t>
      </w:r>
    </w:p>
    <w:p w:rsidR="00000000" w:rsidRPr="004A2B77" w:rsidP="004A2B77">
      <w:pPr>
        <w:pStyle w:val="AllowPageBreak"/>
      </w:pPr>
    </w:p>
    <w:p w:rsidR="00000000" w:rsidRPr="004A2B77" w:rsidP="004A2B77">
      <w:pPr>
        <w:pStyle w:val="Heading1"/>
      </w:pPr>
      <w:bookmarkStart w:id="5" w:name="O_484112"/>
      <w:bookmarkEnd w:id="5"/>
      <w:r w:rsidRPr="004A2B77">
        <w:t>Pre-Requisites</w:t>
      </w:r>
    </w:p>
    <w:p w:rsidR="00000000" w:rsidRPr="004A2B77" w:rsidP="004A2B77">
      <w:pPr>
        <w:pStyle w:val="BodyText"/>
      </w:pPr>
      <w:r w:rsidRPr="004A2B77">
        <w:t>Not applicable.</w:t>
      </w:r>
    </w:p>
    <w:p w:rsidR="00000000" w:rsidRPr="004A2B77" w:rsidP="004A2B77">
      <w:pPr>
        <w:pStyle w:val="AllowPageBreak"/>
      </w:pPr>
    </w:p>
    <w:p w:rsidR="00000000" w:rsidRPr="004A2B77" w:rsidP="004A2B77">
      <w:pPr>
        <w:pStyle w:val="Heading1"/>
      </w:pPr>
      <w:bookmarkStart w:id="6" w:name="O_484108"/>
      <w:bookmarkEnd w:id="6"/>
      <w:r w:rsidRPr="004A2B77">
        <w:t>Employability Skills Information</w:t>
      </w:r>
    </w:p>
    <w:tbl>
      <w:tblPr>
        <w:tblW w:w="0" w:type="auto"/>
        <w:tblLayout w:type="fixed"/>
        <w:tblCellMar>
          <w:left w:w="62" w:type="dxa"/>
          <w:right w:w="62" w:type="dxa"/>
        </w:tblCellMar>
        <w:tblLook w:val="0000"/>
      </w:tblPr>
      <w:tblGrid>
        <w:gridCol w:w="2802"/>
        <w:gridCol w:w="5720"/>
      </w:tblGrid>
      <w:tr w:rsidTr="008C15D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This unit contains employability skills.</w:t>
            </w:r>
          </w:p>
        </w:tc>
      </w:tr>
    </w:tbl>
    <w:p w:rsidR="008C15DC" w:rsidP="004A2B77">
      <w:pPr>
        <w:pStyle w:val="BodyText"/>
      </w:pPr>
    </w:p>
    <w:p w:rsidR="008C15DC" w:rsidP="004A2B77">
      <w:pPr>
        <w:pStyle w:val="BodyText"/>
      </w:pPr>
    </w:p>
    <w:p w:rsidR="00000000" w:rsidRPr="004A2B77" w:rsidP="004A2B77">
      <w:pPr>
        <w:pStyle w:val="Heading1"/>
      </w:pPr>
      <w:bookmarkStart w:id="7" w:name="O_484107"/>
      <w:bookmarkEnd w:id="7"/>
      <w:r w:rsidRPr="004A2B77">
        <w:t>Elements and Performance Criteria Pre-Content</w:t>
      </w:r>
    </w:p>
    <w:tbl>
      <w:tblPr>
        <w:tblW w:w="0" w:type="auto"/>
        <w:tblLayout w:type="fixed"/>
        <w:tblCellMar>
          <w:left w:w="62" w:type="dxa"/>
          <w:right w:w="62" w:type="dxa"/>
        </w:tblCellMar>
        <w:tblLook w:val="0000"/>
      </w:tblPr>
      <w:tblGrid>
        <w:gridCol w:w="2550"/>
        <w:gridCol w:w="5972"/>
      </w:tblGrid>
      <w:tr w:rsidTr="008C15D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t>Elements describe the essential outcomes of a unit of competen</w:t>
            </w:r>
            <w:r w:rsidRPr="004A2B77">
              <w:t>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Performance criteria describe the performance needed to demonstrate achievement of the element. Assessment of performance is to be consistent with the evidence guide.</w:t>
            </w:r>
          </w:p>
        </w:tc>
      </w:tr>
    </w:tbl>
    <w:p w:rsidR="00000000" w:rsidRPr="004A2B77" w:rsidP="004A2B77">
      <w:pPr>
        <w:pStyle w:val="BodyText"/>
      </w:pPr>
    </w:p>
    <w:p w:rsidR="00000000" w:rsidRPr="004A2B77" w:rsidP="004A2B77">
      <w:pPr>
        <w:pStyle w:val="AllowPageBreak"/>
      </w:pPr>
    </w:p>
    <w:p w:rsidR="00000000" w:rsidRPr="004A2B77" w:rsidP="004A2B77">
      <w:pPr>
        <w:pStyle w:val="Heading1"/>
      </w:pPr>
      <w:bookmarkStart w:id="8" w:name="O_484106"/>
      <w:bookmarkEnd w:id="8"/>
      <w:r w:rsidRPr="004A2B77">
        <w:t>Elements and Performance Criteria</w:t>
      </w:r>
    </w:p>
    <w:tbl>
      <w:tblPr>
        <w:tblW w:w="0" w:type="auto"/>
        <w:tblLayout w:type="fixed"/>
        <w:tblCellMar>
          <w:left w:w="62" w:type="dxa"/>
          <w:right w:w="62" w:type="dxa"/>
        </w:tblCellMar>
        <w:tblLook w:val="0000"/>
      </w:tblPr>
      <w:tblGrid>
        <w:gridCol w:w="2550"/>
        <w:gridCol w:w="5972"/>
      </w:tblGrid>
      <w:tr w:rsidTr="008C15DC">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PERFORMANCE CRITERIA</w:t>
            </w:r>
          </w:p>
        </w:tc>
      </w:tr>
      <w:tr w:rsidTr="008C15D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List"/>
              <w:rPr>
                <w:lang w:val="en-NZ"/>
              </w:rPr>
            </w:pPr>
            <w:r w:rsidRPr="004A2B77">
              <w:t>1.</w:t>
            </w:r>
            <w:r w:rsidRPr="004A2B77">
              <w:tab/>
              <w:t>Prepare for service and repair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List2"/>
            </w:pPr>
            <w:r w:rsidRPr="004A2B77">
              <w:t>1.1.</w:t>
            </w:r>
            <w:r w:rsidRPr="004A2B77">
              <w:tab/>
              <w:t xml:space="preserve">Identify and confirm work to be carried out </w:t>
            </w:r>
          </w:p>
          <w:p w:rsidR="00000000" w:rsidRPr="004A2B77" w:rsidP="004A2B77">
            <w:pPr>
              <w:pStyle w:val="List2"/>
            </w:pPr>
            <w:r w:rsidRPr="004A2B77">
              <w:t>1.2.</w:t>
            </w:r>
            <w:r w:rsidRPr="004A2B77">
              <w:tab/>
              <w:t xml:space="preserve">Access and interpret service and repair procedures, workshop manuals and manufacturer's information </w:t>
            </w:r>
          </w:p>
          <w:p w:rsidR="00000000" w:rsidRPr="004A2B77" w:rsidP="004A2B77">
            <w:pPr>
              <w:pStyle w:val="List2"/>
            </w:pPr>
            <w:r w:rsidRPr="004A2B77">
              <w:t>1.3.</w:t>
            </w:r>
            <w:r w:rsidRPr="004A2B77">
              <w:tab/>
              <w:t>Identify and prepare tools, equipment and materials r</w:t>
            </w:r>
            <w:r w:rsidRPr="004A2B77">
              <w:t>equired for servicing and repair job</w:t>
            </w:r>
          </w:p>
          <w:p w:rsidR="00000000" w:rsidP="004A2B77">
            <w:pPr>
              <w:pStyle w:val="List2"/>
              <w:rPr>
                <w:lang w:val="en-NZ"/>
              </w:rPr>
            </w:pPr>
            <w:r w:rsidRPr="004A2B77">
              <w:t>1.4.</w:t>
            </w:r>
            <w:r w:rsidRPr="004A2B77">
              <w:tab/>
              <w:t>Set up work area</w:t>
            </w:r>
          </w:p>
        </w:tc>
      </w:tr>
      <w:tr w:rsidTr="008C15D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List"/>
              <w:rPr>
                <w:lang w:val="en-NZ"/>
              </w:rPr>
            </w:pPr>
            <w:r w:rsidRPr="004A2B77">
              <w:t>2.</w:t>
            </w:r>
            <w:r w:rsidRPr="004A2B77">
              <w:tab/>
              <w:t>Determine service and repair requirements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List2"/>
            </w:pPr>
            <w:r w:rsidRPr="004A2B77">
              <w:t>2.1.</w:t>
            </w:r>
            <w:r w:rsidRPr="004A2B77">
              <w:tab/>
              <w:t>Check customer requirements and equipment specifications following workplace procedures</w:t>
            </w:r>
          </w:p>
          <w:p w:rsidR="00000000" w:rsidRPr="004A2B77" w:rsidP="004A2B77">
            <w:pPr>
              <w:pStyle w:val="List2"/>
            </w:pPr>
            <w:r w:rsidRPr="004A2B77">
              <w:t>2.2.</w:t>
            </w:r>
            <w:r w:rsidRPr="004A2B77">
              <w:tab/>
            </w:r>
            <w:r w:rsidRPr="004A2B77">
              <w:t xml:space="preserve">Test post-hole digging system, identify faults and document test results following workplace procedures </w:t>
            </w:r>
          </w:p>
          <w:p w:rsidR="00000000" w:rsidRPr="004A2B77" w:rsidP="004A2B77">
            <w:pPr>
              <w:pStyle w:val="List2"/>
            </w:pPr>
            <w:r w:rsidRPr="004A2B77">
              <w:t>2.3.</w:t>
            </w:r>
            <w:r w:rsidRPr="004A2B77">
              <w:tab/>
              <w:t xml:space="preserve">Plan and cost service and repair procedure </w:t>
            </w:r>
          </w:p>
          <w:p w:rsidR="00000000" w:rsidP="004A2B77">
            <w:pPr>
              <w:pStyle w:val="List2"/>
              <w:rPr>
                <w:lang w:val="en-NZ"/>
              </w:rPr>
            </w:pPr>
            <w:r w:rsidRPr="004A2B77">
              <w:t>2.4.</w:t>
            </w:r>
            <w:r w:rsidRPr="004A2B77">
              <w:tab/>
              <w:t xml:space="preserve">Discuss recommended repair process with customer and obtain authorisation to proceed </w:t>
            </w:r>
          </w:p>
        </w:tc>
      </w:tr>
      <w:tr w:rsidTr="008C15D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List"/>
              <w:rPr>
                <w:lang w:val="en-NZ"/>
              </w:rPr>
            </w:pPr>
            <w:r w:rsidRPr="004A2B77">
              <w:t>3.</w:t>
            </w:r>
            <w:r w:rsidRPr="004A2B77">
              <w:tab/>
              <w:t>Service</w:t>
            </w:r>
            <w:r w:rsidRPr="004A2B77">
              <w:t xml:space="preserve"> and repair post-hole digging system</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List2"/>
            </w:pPr>
            <w:r w:rsidRPr="004A2B77">
              <w:t>3.1.</w:t>
            </w:r>
            <w:r w:rsidRPr="004A2B77">
              <w:tab/>
              <w:t>Identify and observe applicable workplace health and safety (WHS) requirements, including state/territory regulatory requirements and personal protection needs</w:t>
            </w:r>
          </w:p>
          <w:p w:rsidR="00000000" w:rsidRPr="004A2B77" w:rsidP="004A2B77">
            <w:pPr>
              <w:pStyle w:val="List2"/>
            </w:pPr>
            <w:r w:rsidRPr="004A2B77">
              <w:t>3.2.</w:t>
            </w:r>
            <w:r w:rsidRPr="004A2B77">
              <w:tab/>
              <w:t>Select tooling and equipment to meet job requirem</w:t>
            </w:r>
            <w:r w:rsidRPr="004A2B77">
              <w:t>ents and check to ensure they are in good working order</w:t>
            </w:r>
          </w:p>
          <w:p w:rsidR="00000000" w:rsidRPr="004A2B77" w:rsidP="004A2B77">
            <w:pPr>
              <w:pStyle w:val="List2"/>
            </w:pPr>
            <w:r w:rsidRPr="004A2B77">
              <w:t>3.3.</w:t>
            </w:r>
            <w:r w:rsidRPr="004A2B77">
              <w:tab/>
              <w:t>Remove components for repair procedure and inspect for condition and serviceability</w:t>
            </w:r>
          </w:p>
          <w:p w:rsidR="00000000" w:rsidRPr="004A2B77" w:rsidP="004A2B77">
            <w:pPr>
              <w:pStyle w:val="List2"/>
            </w:pPr>
            <w:r w:rsidRPr="004A2B77">
              <w:t>3.4.</w:t>
            </w:r>
            <w:r w:rsidRPr="004A2B77">
              <w:tab/>
              <w:t>Discard unusable components and retain reusable and repairable components following workplace procedures</w:t>
            </w:r>
          </w:p>
          <w:p w:rsidR="00000000" w:rsidRPr="004A2B77" w:rsidP="004A2B77">
            <w:pPr>
              <w:pStyle w:val="List2"/>
            </w:pPr>
            <w:r w:rsidRPr="004A2B77">
              <w:t>3</w:t>
            </w:r>
            <w:r w:rsidRPr="004A2B77">
              <w:t>.5.</w:t>
            </w:r>
            <w:r w:rsidRPr="004A2B77">
              <w:tab/>
              <w:t xml:space="preserve">Determine availability of replacement parts, qualified repair staff or subcontractors and facilities </w:t>
            </w:r>
          </w:p>
          <w:p w:rsidR="00000000" w:rsidRPr="004A2B77" w:rsidP="004A2B77">
            <w:pPr>
              <w:pStyle w:val="List2"/>
            </w:pPr>
            <w:r w:rsidRPr="004A2B77">
              <w:t>3.6.</w:t>
            </w:r>
            <w:r w:rsidRPr="004A2B77">
              <w:tab/>
              <w:t>Follow service and repair procedures and check work at designated points to determine serviceability of sub-assemblies and conformity to specific</w:t>
            </w:r>
            <w:r w:rsidRPr="004A2B77">
              <w:t>ations</w:t>
            </w:r>
          </w:p>
          <w:p w:rsidR="00000000" w:rsidP="004A2B77">
            <w:pPr>
              <w:pStyle w:val="List2"/>
              <w:rPr>
                <w:lang w:val="en-NZ"/>
              </w:rPr>
            </w:pPr>
            <w:r w:rsidRPr="004A2B77">
              <w:t>3.7.</w:t>
            </w:r>
            <w:r w:rsidRPr="004A2B77">
              <w:tab/>
              <w:t>Fit reusable, repaired and replacement parts in accordance with manufacturer/component supplier specifications and workplace procedures</w:t>
            </w:r>
          </w:p>
        </w:tc>
      </w:tr>
      <w:tr w:rsidTr="008C15D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List"/>
              <w:rPr>
                <w:lang w:val="en-NZ"/>
              </w:rPr>
            </w:pPr>
            <w:r w:rsidRPr="004A2B77">
              <w:t>4.</w:t>
            </w:r>
            <w:r w:rsidRPr="004A2B77">
              <w:tab/>
              <w:t>Check post-hole digging system for normal operation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List2"/>
            </w:pPr>
            <w:r w:rsidRPr="004A2B77">
              <w:t>4.1.</w:t>
            </w:r>
            <w:r w:rsidRPr="004A2B77">
              <w:tab/>
              <w:t>Operate post-hole digging system through full o</w:t>
            </w:r>
            <w:r w:rsidRPr="004A2B77">
              <w:t>perating range</w:t>
            </w:r>
          </w:p>
          <w:p w:rsidR="00000000" w:rsidRPr="004A2B77" w:rsidP="004A2B77">
            <w:pPr>
              <w:pStyle w:val="List2"/>
            </w:pPr>
            <w:r w:rsidRPr="004A2B77">
              <w:t>4.2.</w:t>
            </w:r>
            <w:r w:rsidRPr="004A2B77">
              <w:tab/>
              <w:t>Check operation against equipment specifications and customer requirements</w:t>
            </w:r>
          </w:p>
          <w:p w:rsidR="00000000" w:rsidRPr="004A2B77" w:rsidP="004A2B77">
            <w:pPr>
              <w:pStyle w:val="List2"/>
            </w:pPr>
            <w:r w:rsidRPr="004A2B77">
              <w:t>4.3.</w:t>
            </w:r>
            <w:r w:rsidRPr="004A2B77">
              <w:tab/>
              <w:t>Make any adjustments as required and re-test</w:t>
            </w:r>
          </w:p>
          <w:p w:rsidR="00000000" w:rsidRPr="004A2B77" w:rsidP="004A2B77">
            <w:pPr>
              <w:pStyle w:val="List2"/>
            </w:pPr>
            <w:r w:rsidRPr="004A2B77">
              <w:t>4.4.</w:t>
            </w:r>
            <w:r w:rsidRPr="004A2B77">
              <w:tab/>
              <w:t xml:space="preserve">Check adjustments, fluid levels and alignments </w:t>
            </w:r>
          </w:p>
          <w:p w:rsidR="00000000" w:rsidP="004A2B77">
            <w:pPr>
              <w:pStyle w:val="List2"/>
              <w:rPr>
                <w:lang w:val="en-NZ"/>
              </w:rPr>
            </w:pPr>
            <w:r w:rsidRPr="004A2B77">
              <w:t>4.5.</w:t>
            </w:r>
            <w:r w:rsidRPr="004A2B77">
              <w:tab/>
            </w:r>
            <w:r w:rsidRPr="004A2B77">
              <w:t>Complete workplace documentation and update customer and warranty information as required</w:t>
            </w:r>
          </w:p>
        </w:tc>
      </w:tr>
      <w:tr w:rsidTr="008C15D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List"/>
              <w:rPr>
                <w:lang w:val="en-NZ"/>
              </w:rPr>
            </w:pPr>
            <w:r w:rsidRPr="004A2B77">
              <w:t>5.</w:t>
            </w:r>
            <w:r w:rsidRPr="004A2B77">
              <w:tab/>
              <w:t>Complete work and return unit to customer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List2"/>
            </w:pPr>
            <w:r w:rsidRPr="004A2B77">
              <w:t>5.1.</w:t>
            </w:r>
            <w:r w:rsidRPr="004A2B77">
              <w:tab/>
              <w:t>Inspect repaired unit to ensure protective guards, cowlings and safety features are in place</w:t>
            </w:r>
          </w:p>
          <w:p w:rsidR="00000000" w:rsidRPr="004A2B77" w:rsidP="004A2B77">
            <w:pPr>
              <w:pStyle w:val="List2"/>
            </w:pPr>
            <w:r w:rsidRPr="004A2B77">
              <w:t>5.2.</w:t>
            </w:r>
            <w:r w:rsidRPr="004A2B77">
              <w:tab/>
              <w:t>Clean unit to wor</w:t>
            </w:r>
            <w:r w:rsidRPr="004A2B77">
              <w:t>kplace expectations</w:t>
            </w:r>
          </w:p>
          <w:p w:rsidR="00000000" w:rsidRPr="004A2B77" w:rsidP="004A2B77">
            <w:pPr>
              <w:pStyle w:val="List2"/>
            </w:pPr>
            <w:r w:rsidRPr="004A2B77">
              <w:t>5.3.</w:t>
            </w:r>
            <w:r w:rsidRPr="004A2B77">
              <w:tab/>
              <w:t>Clean work area, dispose of waste, and store tools and equipment in accordance with workplace procedures</w:t>
            </w:r>
          </w:p>
          <w:p w:rsidR="00000000" w:rsidRPr="004A2B77" w:rsidP="004A2B77">
            <w:pPr>
              <w:pStyle w:val="List2"/>
            </w:pPr>
            <w:r w:rsidRPr="004A2B77">
              <w:t>5.4.</w:t>
            </w:r>
            <w:r w:rsidRPr="004A2B77">
              <w:tab/>
              <w:t xml:space="preserve">Provide customer report on repairs and replacements and explain use and care of equipment and warranty requirements </w:t>
            </w:r>
          </w:p>
        </w:tc>
      </w:tr>
    </w:tbl>
    <w:p w:rsidR="00000000" w:rsidRPr="004A2B77" w:rsidP="004A2B77">
      <w:pPr>
        <w:pStyle w:val="BodyText"/>
      </w:pPr>
    </w:p>
    <w:p w:rsidR="00000000" w:rsidRPr="004A2B77" w:rsidP="004A2B77">
      <w:pPr>
        <w:pStyle w:val="AllowPageBreak"/>
      </w:pPr>
    </w:p>
    <w:p w:rsidR="00000000" w:rsidRPr="004A2B77" w:rsidP="004A2B77">
      <w:pPr>
        <w:pStyle w:val="Heading1"/>
      </w:pPr>
      <w:bookmarkStart w:id="9" w:name="O_484114"/>
      <w:bookmarkEnd w:id="9"/>
      <w:r w:rsidRPr="004A2B77">
        <w:t>Required Skills and Knowledge</w:t>
      </w:r>
    </w:p>
    <w:tbl>
      <w:tblPr>
        <w:tblW w:w="0" w:type="auto"/>
        <w:tblLayout w:type="fixed"/>
        <w:tblCellMar>
          <w:left w:w="62" w:type="dxa"/>
          <w:right w:w="62" w:type="dxa"/>
        </w:tblCellMar>
        <w:tblLook w:val="0000"/>
      </w:tblPr>
      <w:tblGrid>
        <w:gridCol w:w="8522"/>
      </w:tblGrid>
      <w:tr w:rsidTr="008C15D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REQUIRED SKILLS AND KNOWLEDGE</w:t>
            </w:r>
          </w:p>
        </w:tc>
      </w:tr>
      <w:tr w:rsidTr="008C15D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t>This section describes the skills and knowledge required for this unit.</w:t>
            </w:r>
          </w:p>
        </w:tc>
      </w:tr>
      <w:tr w:rsidTr="008C15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Required skills</w:t>
            </w:r>
          </w:p>
        </w:tc>
      </w:tr>
      <w:tr w:rsidTr="008C15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Required skills include:</w:t>
            </w:r>
          </w:p>
          <w:p w:rsidR="00000000" w:rsidRPr="004A2B77" w:rsidP="004A2B77">
            <w:pPr>
              <w:pStyle w:val="ListBullet"/>
            </w:pPr>
            <w:r w:rsidRPr="004A2B77">
              <w:t>technical skills to the level required to use workplace technology, equipment and tools related to repairing and testing post-hole digging systems</w:t>
            </w:r>
          </w:p>
          <w:p w:rsidR="00000000" w:rsidRPr="004A2B77" w:rsidP="004A2B77">
            <w:pPr>
              <w:pStyle w:val="ListBullet"/>
            </w:pPr>
            <w:r w:rsidRPr="004A2B77">
              <w:t>communication skills to the level required to confirm work requirements and specifications, to communicate effectively regarding work requirements with supervisor, other workers and customers, to report work outcomes and problems, and to relate to people f</w:t>
            </w:r>
            <w:r w:rsidRPr="004A2B77">
              <w:t>rom a range of social, cultural and ethnic backgrounds and of varying physical and mental abilities</w:t>
            </w:r>
          </w:p>
          <w:p w:rsidR="00000000" w:rsidRPr="004A2B77" w:rsidP="004A2B77">
            <w:pPr>
              <w:pStyle w:val="ListBullet"/>
            </w:pPr>
            <w:r w:rsidRPr="004A2B77">
              <w:t>literacy skills to the level required to understand information related to work orders and to locate, interpret and apply manufacturer/component supplier in</w:t>
            </w:r>
            <w:r w:rsidRPr="004A2B77">
              <w:t>formation, workplace policies and procedures</w:t>
            </w:r>
          </w:p>
          <w:p w:rsidR="00000000" w:rsidRPr="004A2B77" w:rsidP="004A2B77">
            <w:pPr>
              <w:pStyle w:val="ListBullet"/>
            </w:pPr>
            <w:r w:rsidRPr="004A2B77">
              <w:t>numeracy skills to the level required to correctly calculate time, assess tolerances, apply accurate measurements, calculate material requirements and establish quality checks</w:t>
            </w:r>
          </w:p>
          <w:p w:rsidR="00000000" w:rsidRPr="004A2B77" w:rsidP="004A2B77">
            <w:pPr>
              <w:pStyle w:val="ListBullet"/>
            </w:pPr>
            <w:r w:rsidRPr="004A2B77">
              <w:t>problem-solving skills to the level</w:t>
            </w:r>
            <w:r w:rsidRPr="004A2B77">
              <w:t xml:space="preserve"> required to plan and organise activities and establish safe and effective work processes which anticipate and/or resolve problems and downtime, and to systematically develop solutions to avoid or minimise reworking and avoid wastage</w:t>
            </w:r>
          </w:p>
          <w:p w:rsidR="00000000" w:rsidP="004A2B77">
            <w:pPr>
              <w:pStyle w:val="ListBullet"/>
              <w:rPr>
                <w:lang w:val="en-NZ"/>
              </w:rPr>
            </w:pPr>
            <w:r w:rsidRPr="004A2B77">
              <w:t>team skills to the lev</w:t>
            </w:r>
            <w:r w:rsidRPr="004A2B77">
              <w:t>el required to work effectively and cooperatively with others to optimise workflow and productivity</w:t>
            </w:r>
          </w:p>
        </w:tc>
      </w:tr>
      <w:tr w:rsidTr="008C15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Required knowledge</w:t>
            </w:r>
          </w:p>
        </w:tc>
      </w:tr>
      <w:tr w:rsidTr="008C15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Required knowledge includes:</w:t>
            </w:r>
          </w:p>
          <w:p w:rsidR="00000000" w:rsidRPr="004A2B77" w:rsidP="004A2B77">
            <w:pPr>
              <w:pStyle w:val="ListBullet"/>
            </w:pPr>
            <w:r w:rsidRPr="004A2B77">
              <w:t>dangers of working with post-hole digging equipment</w:t>
            </w:r>
          </w:p>
          <w:p w:rsidR="00000000" w:rsidRPr="004A2B77" w:rsidP="004A2B77">
            <w:pPr>
              <w:pStyle w:val="ListBullet"/>
            </w:pPr>
            <w:r w:rsidRPr="004A2B77">
              <w:t>the relationship of a post-hole digging system to pow</w:t>
            </w:r>
            <w:r w:rsidRPr="004A2B77">
              <w:t>er unit, drive, safety, reversing and adjustment systems and overload protection device</w:t>
            </w:r>
          </w:p>
          <w:p w:rsidR="00000000" w:rsidRPr="004A2B77" w:rsidP="004A2B77">
            <w:pPr>
              <w:pStyle w:val="ListBullet"/>
            </w:pPr>
            <w:r w:rsidRPr="004A2B77">
              <w:t>mechanical principles relevant to post-hole digging systems</w:t>
            </w:r>
          </w:p>
          <w:p w:rsidR="00000000" w:rsidRPr="004A2B77" w:rsidP="004A2B77">
            <w:pPr>
              <w:pStyle w:val="ListBullet"/>
            </w:pPr>
            <w:r w:rsidRPr="004A2B77">
              <w:t>classifications of post-hole digging systems and components</w:t>
            </w:r>
          </w:p>
          <w:p w:rsidR="00000000" w:rsidRPr="004A2B77" w:rsidP="004A2B77">
            <w:pPr>
              <w:pStyle w:val="ListBullet"/>
            </w:pPr>
            <w:r w:rsidRPr="004A2B77">
              <w:t>material used in post-hole digging system compon</w:t>
            </w:r>
            <w:r w:rsidRPr="004A2B77">
              <w:t>ents</w:t>
            </w:r>
          </w:p>
          <w:p w:rsidR="00000000" w:rsidRPr="004A2B77" w:rsidP="004A2B77">
            <w:pPr>
              <w:pStyle w:val="ListBullet"/>
            </w:pPr>
            <w:r w:rsidRPr="004A2B77">
              <w:t xml:space="preserve">types and causes of faults in post-hole digging systems </w:t>
            </w:r>
          </w:p>
          <w:p w:rsidR="00000000" w:rsidRPr="004A2B77" w:rsidP="004A2B77">
            <w:pPr>
              <w:pStyle w:val="ListBullet"/>
            </w:pPr>
            <w:r w:rsidRPr="004A2B77">
              <w:t>types and layout of service/repair manuals (hard copy and electronic)</w:t>
            </w:r>
          </w:p>
          <w:p w:rsidR="00000000" w:rsidRPr="004A2B77" w:rsidP="004A2B77">
            <w:pPr>
              <w:pStyle w:val="ListBullet"/>
            </w:pPr>
            <w:r w:rsidRPr="004A2B77">
              <w:t>servicing and repair procedures</w:t>
            </w:r>
          </w:p>
          <w:p w:rsidR="00000000" w:rsidRPr="004A2B77" w:rsidP="004A2B77">
            <w:pPr>
              <w:pStyle w:val="ListBullet"/>
            </w:pPr>
            <w:r w:rsidRPr="004A2B77">
              <w:t>types of lubricants, application and methods of lubrication</w:t>
            </w:r>
          </w:p>
          <w:p w:rsidR="00000000" w:rsidRPr="004A2B77" w:rsidP="004A2B77">
            <w:pPr>
              <w:pStyle w:val="ListBullet"/>
            </w:pPr>
            <w:r w:rsidRPr="004A2B77">
              <w:t>selection</w:t>
            </w:r>
            <w:r w:rsidRPr="004A2B77">
              <w:t>, checking and use of tooling and equipment</w:t>
            </w:r>
          </w:p>
          <w:p w:rsidR="00000000" w:rsidRPr="004A2B77" w:rsidP="004A2B77">
            <w:pPr>
              <w:pStyle w:val="ListBullet"/>
            </w:pPr>
            <w:r w:rsidRPr="004A2B77">
              <w:t>manufacturer and/or component supplier specifications</w:t>
            </w:r>
          </w:p>
          <w:p w:rsidR="00000000" w:rsidRPr="004A2B77" w:rsidP="004A2B77">
            <w:pPr>
              <w:pStyle w:val="ListBullet"/>
            </w:pPr>
            <w:r w:rsidRPr="004A2B77">
              <w:t>applicable commonwealth, state or territory legislation, regulations, standards and codes of practice, including WHS and environment, relevant to servicing an</w:t>
            </w:r>
            <w:r w:rsidRPr="004A2B77">
              <w:t xml:space="preserve">d </w:t>
            </w:r>
            <w:r w:rsidRPr="004A2B77">
              <w:t>repairing post-hole digging systems</w:t>
            </w:r>
          </w:p>
          <w:p w:rsidR="00000000" w:rsidRPr="004A2B77" w:rsidP="004A2B77">
            <w:pPr>
              <w:pStyle w:val="ListBullet"/>
            </w:pPr>
            <w:r w:rsidRPr="004A2B77">
              <w:t>organisational policies and procedures, including quality requirements, reporting and recording procedures, and work organisation and planning processes related to servicing and repairing post-hole digging systems</w:t>
            </w:r>
          </w:p>
        </w:tc>
      </w:tr>
    </w:tbl>
    <w:p w:rsidR="00000000" w:rsidRPr="004A2B77" w:rsidP="004A2B77">
      <w:pPr>
        <w:pStyle w:val="BodyText"/>
      </w:pPr>
    </w:p>
    <w:p w:rsidR="00000000" w:rsidRPr="004A2B77" w:rsidP="004A2B77">
      <w:pPr>
        <w:pStyle w:val="AllowPageBreak"/>
      </w:pPr>
    </w:p>
    <w:p w:rsidR="00000000" w:rsidRPr="004A2B77" w:rsidP="004A2B77">
      <w:pPr>
        <w:pStyle w:val="Heading1"/>
      </w:pPr>
      <w:bookmarkStart w:id="10" w:name="O_484109"/>
      <w:bookmarkEnd w:id="10"/>
      <w:r w:rsidRPr="004A2B77">
        <w:t>Evidence Guide</w:t>
      </w:r>
    </w:p>
    <w:tbl>
      <w:tblPr>
        <w:tblW w:w="9570" w:type="dxa"/>
        <w:tblLayout w:type="fixed"/>
        <w:tblCellMar>
          <w:left w:w="62" w:type="dxa"/>
          <w:right w:w="62" w:type="dxa"/>
        </w:tblCellMar>
        <w:tblLook w:val="0000"/>
      </w:tblPr>
      <w:tblGrid>
        <w:gridCol w:w="3447"/>
        <w:gridCol w:w="6123"/>
      </w:tblGrid>
      <w:tr w:rsidTr="008C15D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EVIDENCE GUIDE</w:t>
            </w:r>
          </w:p>
        </w:tc>
      </w:tr>
      <w:tr w:rsidTr="008C15D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t xml:space="preserve">The evidence guide provides advice on assessment and must be read in conjunction with the performance criteria, required skills and knowledge, </w:t>
            </w:r>
            <w:r w:rsidRPr="004A2B77">
              <w:t>range statement and the Assessment Guidelines for the Training Package.</w:t>
            </w:r>
          </w:p>
        </w:tc>
      </w:tr>
      <w:tr w:rsidTr="008C15D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p>
        </w:tc>
      </w:tr>
      <w:tr w:rsidTr="008C15D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Assessors must be satisfied that the candidate can competently a</w:t>
            </w:r>
            <w:r w:rsidRPr="004A2B77">
              <w:t>nd consistently:</w:t>
            </w:r>
          </w:p>
          <w:p w:rsidR="00000000" w:rsidRPr="004A2B77" w:rsidP="004A2B77">
            <w:pPr>
              <w:pStyle w:val="ListBullet"/>
            </w:pPr>
            <w:r w:rsidRPr="004A2B77">
              <w:t>observe safety procedures and requirements</w:t>
            </w:r>
          </w:p>
          <w:p w:rsidR="00000000" w:rsidRPr="004A2B77" w:rsidP="004A2B77">
            <w:pPr>
              <w:pStyle w:val="ListBullet"/>
            </w:pPr>
            <w:r w:rsidRPr="004A2B77">
              <w:t xml:space="preserve">communicate effectively with others involved in or affected by the work </w:t>
            </w:r>
          </w:p>
          <w:p w:rsidR="00000000" w:rsidRPr="004A2B77" w:rsidP="004A2B77">
            <w:pPr>
              <w:pStyle w:val="ListBullet"/>
            </w:pPr>
            <w:r w:rsidRPr="004A2B77">
              <w:t>select servicing methods and techniques appropriate to the circumstances</w:t>
            </w:r>
          </w:p>
          <w:p w:rsidR="00000000" w:rsidRPr="004A2B77" w:rsidP="004A2B77">
            <w:pPr>
              <w:pStyle w:val="ListBullet"/>
            </w:pPr>
            <w:r w:rsidRPr="004A2B77">
              <w:t>complete preparatory activity in a systematic manner</w:t>
            </w:r>
          </w:p>
          <w:p w:rsidR="00000000" w:rsidRPr="004A2B77" w:rsidP="004A2B77">
            <w:pPr>
              <w:pStyle w:val="ListBullet"/>
            </w:pPr>
            <w:r w:rsidRPr="004A2B77">
              <w:t>accurately interpret test results</w:t>
            </w:r>
          </w:p>
          <w:p w:rsidR="00000000" w:rsidRPr="004A2B77" w:rsidP="004A2B77">
            <w:pPr>
              <w:pStyle w:val="ListBullet"/>
            </w:pPr>
            <w:r w:rsidRPr="004A2B77">
              <w:t xml:space="preserve">repair/replace, fit and adjust components in accordance with specifications and workplace procedures </w:t>
            </w:r>
          </w:p>
          <w:p w:rsidR="00000000" w:rsidRPr="004A2B77" w:rsidP="004A2B77">
            <w:pPr>
              <w:pStyle w:val="ListBullet"/>
            </w:pPr>
            <w:r w:rsidRPr="004A2B77">
              <w:t>complete service and repair of post-hole diggers and associated com</w:t>
            </w:r>
            <w:r w:rsidRPr="004A2B77">
              <w:t>ponents within workplace timeframes</w:t>
            </w:r>
          </w:p>
          <w:p w:rsidR="00000000" w:rsidRPr="004A2B77" w:rsidP="004A2B77">
            <w:pPr>
              <w:pStyle w:val="ListBullet"/>
            </w:pPr>
            <w:r w:rsidRPr="004A2B77">
              <w:t>present post-hole digging equipment to customer in compliance with workplace requirements</w:t>
            </w:r>
          </w:p>
          <w:p w:rsidR="00000000" w:rsidP="004A2B77">
            <w:pPr>
              <w:pStyle w:val="ListBullet"/>
              <w:rPr>
                <w:lang w:val="en-NZ"/>
              </w:rPr>
            </w:pPr>
            <w:r w:rsidRPr="004A2B77">
              <w:t>complete workplace records.</w:t>
            </w:r>
          </w:p>
        </w:tc>
      </w:tr>
      <w:tr w:rsidTr="008C15D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Context of</w:t>
            </w:r>
            <w:r w:rsidRPr="004A2B77">
              <w:t xml:space="preserve">, </w:t>
            </w:r>
            <w:r w:rsidRPr="004A2B77">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ListBullet"/>
            </w:pPr>
            <w:r w:rsidRPr="004A2B77">
              <w:t>The application of competency is to be assessed in</w:t>
            </w:r>
            <w:r w:rsidRPr="004A2B77">
              <w:t xml:space="preserve"> the workplace or a simulated environment that reflects as far as possible the actual working environment.</w:t>
            </w:r>
          </w:p>
          <w:p w:rsidR="00000000" w:rsidRPr="004A2B77" w:rsidP="004A2B77">
            <w:pPr>
              <w:pStyle w:val="ListBullet"/>
            </w:pPr>
            <w:r w:rsidRPr="004A2B77">
              <w:t>Assessment is to occur using standard and authorised work practices, safety requirements and environmental constraints.</w:t>
            </w:r>
          </w:p>
          <w:p w:rsidR="00000000" w:rsidRPr="004A2B77" w:rsidP="004A2B77">
            <w:pPr>
              <w:pStyle w:val="ListBullet"/>
            </w:pPr>
            <w:r w:rsidRPr="004A2B77">
              <w:t xml:space="preserve">Assessment is to comply with </w:t>
            </w:r>
            <w:r w:rsidRPr="004A2B77">
              <w:t>relevant regulatory requirements, including specified Australian standards.</w:t>
            </w:r>
          </w:p>
          <w:p w:rsidR="00000000" w:rsidRPr="004A2B77" w:rsidP="004A2B77">
            <w:pPr>
              <w:pStyle w:val="ListBullet"/>
            </w:pPr>
            <w:r w:rsidRPr="004A2B77">
              <w:t>Where applicable, reasonable adjustment must be made to work environments and training situations to accommodate ethnicity, age, gender, demographics and disability.</w:t>
            </w:r>
          </w:p>
          <w:p w:rsidR="00000000" w:rsidRPr="004A2B77" w:rsidP="004A2B77">
            <w:pPr>
              <w:pStyle w:val="ListBullet"/>
            </w:pPr>
            <w:r w:rsidRPr="004A2B77">
              <w:t xml:space="preserve">The following </w:t>
            </w:r>
            <w:r w:rsidRPr="004A2B77">
              <w:t xml:space="preserve">resources should be made available: </w:t>
            </w:r>
          </w:p>
          <w:p w:rsidR="00000000" w:rsidRPr="004A2B77" w:rsidP="004A2B77">
            <w:pPr>
              <w:pStyle w:val="ListBullet2"/>
            </w:pPr>
            <w:r w:rsidRPr="004A2B77">
              <w:t>a range of post-hole digging systems and components</w:t>
            </w:r>
          </w:p>
          <w:p w:rsidR="00000000" w:rsidRPr="004A2B77" w:rsidP="004A2B77">
            <w:pPr>
              <w:pStyle w:val="ListBullet2"/>
            </w:pPr>
            <w:r w:rsidRPr="004A2B77">
              <w:t>an area for safe testing of post-hole digging systems</w:t>
            </w:r>
          </w:p>
          <w:p w:rsidR="00000000" w:rsidRPr="004A2B77" w:rsidP="004A2B77">
            <w:pPr>
              <w:pStyle w:val="ListBullet2"/>
            </w:pPr>
            <w:r w:rsidRPr="004A2B77">
              <w:t>materials relevant to servicing and repair of post-hole digging</w:t>
            </w:r>
          </w:p>
          <w:p w:rsidR="00000000" w:rsidRPr="004A2B77" w:rsidP="004A2B77">
            <w:pPr>
              <w:pStyle w:val="ListBullet2"/>
            </w:pPr>
            <w:r w:rsidRPr="004A2B77">
              <w:t>equipment, hand and power tooling appropriate to servicing and repair of post-hole digging systems</w:t>
            </w:r>
          </w:p>
          <w:p w:rsidR="00000000" w:rsidP="004A2B77">
            <w:pPr>
              <w:pStyle w:val="ListBullet2"/>
              <w:rPr>
                <w:lang w:val="en-NZ"/>
              </w:rPr>
            </w:pPr>
            <w:r w:rsidRPr="004A2B77">
              <w:t>specifications and work instructions.</w:t>
            </w:r>
          </w:p>
        </w:tc>
      </w:tr>
      <w:tr w:rsidTr="008C15D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ListBullet"/>
            </w:pPr>
            <w:r w:rsidRPr="004A2B77">
              <w:t>Assessment must satisfy the endorsed Assessment Guidelines of this Training Package.</w:t>
            </w:r>
          </w:p>
          <w:p w:rsidR="00000000" w:rsidRPr="004A2B77" w:rsidP="004A2B77">
            <w:pPr>
              <w:pStyle w:val="ListBullet"/>
            </w:pPr>
            <w:r w:rsidRPr="004A2B77">
              <w:t>Assessment methods must confirm consistency and accuracy of performance (over time and in a range of workplace relevant contexts) together with application of Required Skills and Knowledge.</w:t>
            </w:r>
          </w:p>
          <w:p w:rsidR="00000000" w:rsidRPr="004A2B77" w:rsidP="004A2B77">
            <w:pPr>
              <w:pStyle w:val="ListBullet"/>
            </w:pPr>
            <w:r w:rsidRPr="004A2B77">
              <w:t>Assessment methods must be by direct observation of tasks and incl</w:t>
            </w:r>
            <w:r w:rsidRPr="004A2B77">
              <w:t>ude questioning on Required Skills and Knowledge to ensure its correct interpretation and application.</w:t>
            </w:r>
          </w:p>
          <w:p w:rsidR="00000000" w:rsidRPr="004A2B77" w:rsidP="004A2B77">
            <w:pPr>
              <w:pStyle w:val="ListBullet"/>
            </w:pPr>
            <w:r w:rsidRPr="004A2B77">
              <w:t>Assessment may be applied under project-related conditions (real or simulated) and require evidence of process.</w:t>
            </w:r>
          </w:p>
          <w:p w:rsidR="00000000" w:rsidRPr="004A2B77" w:rsidP="004A2B77">
            <w:pPr>
              <w:pStyle w:val="ListBullet"/>
            </w:pPr>
            <w:r w:rsidRPr="004A2B77">
              <w:t>Assessment must confirm a reasonable infe</w:t>
            </w:r>
            <w:r w:rsidRPr="004A2B77">
              <w:t>rence that competency is able not only to be satisfied under the particular circumstance, but is able to be transferred to other circumstances.</w:t>
            </w:r>
          </w:p>
          <w:p w:rsidR="00000000" w:rsidP="004A2B77">
            <w:pPr>
              <w:pStyle w:val="ListBullet"/>
              <w:rPr>
                <w:lang w:val="en-NZ"/>
              </w:rPr>
            </w:pPr>
            <w:r w:rsidRPr="004A2B77">
              <w:t>Competence in this unit may be assessed in conjunction with other functional units which together form part of t</w:t>
            </w:r>
            <w:r w:rsidRPr="004A2B77">
              <w:t>he holistic work role.</w:t>
            </w:r>
          </w:p>
        </w:tc>
      </w:tr>
      <w:tr w:rsidTr="008C15DC">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Assessment processes and techniques must be culturally sensitive and appropriate to the language and literacy capacity of the candidate and the work being performed.</w:t>
            </w:r>
          </w:p>
        </w:tc>
      </w:tr>
    </w:tbl>
    <w:p w:rsidR="008C15DC" w:rsidP="004A2B77">
      <w:pPr>
        <w:pStyle w:val="BodyText"/>
      </w:pPr>
    </w:p>
    <w:p w:rsidR="008C15DC" w:rsidP="004A2B77">
      <w:pPr>
        <w:pStyle w:val="BodyText"/>
      </w:pPr>
    </w:p>
    <w:p w:rsidR="00000000" w:rsidRPr="004A2B77" w:rsidP="004A2B77">
      <w:pPr>
        <w:pStyle w:val="Heading1"/>
      </w:pPr>
      <w:bookmarkStart w:id="11" w:name="O_484113"/>
      <w:bookmarkEnd w:id="11"/>
      <w:r w:rsidRPr="004A2B77">
        <w:t>Range Statement</w:t>
      </w:r>
    </w:p>
    <w:tbl>
      <w:tblPr>
        <w:tblW w:w="0" w:type="auto"/>
        <w:tblLayout w:type="fixed"/>
        <w:tblCellMar>
          <w:left w:w="62" w:type="dxa"/>
          <w:right w:w="62" w:type="dxa"/>
        </w:tblCellMar>
        <w:tblLook w:val="0000"/>
      </w:tblPr>
      <w:tblGrid>
        <w:gridCol w:w="3549"/>
        <w:gridCol w:w="4973"/>
      </w:tblGrid>
      <w:tr w:rsidTr="008C15D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RANGE STATEMENT</w:t>
            </w:r>
          </w:p>
        </w:tc>
      </w:tr>
      <w:tr w:rsidTr="008C15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t>The range statement relates to the unit of competency as a whole. It allows for different work environments and situations that may affect performance. Essential operating conditions that may be present with training and a</w:t>
            </w:r>
            <w:r w:rsidRPr="004A2B77">
              <w:t>ssessment (depending on the work situation, needs of the candidate, accessibility of the item, and local industry and regional contexts) may also be included.</w:t>
            </w:r>
          </w:p>
        </w:tc>
      </w:tr>
      <w:tr w:rsidTr="008C15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Post-hole digging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Post-hole digging systems may be:</w:t>
            </w:r>
          </w:p>
          <w:p w:rsidR="00000000" w:rsidRPr="004A2B77" w:rsidP="004A2B77">
            <w:pPr>
              <w:pStyle w:val="ListBullet"/>
            </w:pPr>
            <w:r w:rsidRPr="004A2B77">
              <w:t>powered by electric, diesel and pe</w:t>
            </w:r>
            <w:r w:rsidRPr="004A2B77">
              <w:t>trol engines</w:t>
            </w:r>
          </w:p>
          <w:p w:rsidR="00000000" w:rsidRPr="004A2B77" w:rsidP="004A2B77">
            <w:pPr>
              <w:pStyle w:val="ListBullet"/>
            </w:pPr>
            <w:r w:rsidRPr="004A2B77">
              <w:t>hand-held equipment</w:t>
            </w:r>
          </w:p>
          <w:p w:rsidR="00000000" w:rsidP="004A2B77">
            <w:pPr>
              <w:pStyle w:val="ListBullet"/>
              <w:rPr>
                <w:lang w:val="en-NZ"/>
              </w:rPr>
            </w:pPr>
            <w:r w:rsidRPr="004A2B77">
              <w:t>fitted to tractors or platforms</w:t>
            </w:r>
          </w:p>
        </w:tc>
      </w:tr>
      <w:tr w:rsidTr="008C15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Component 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Post-hole digging system variables may include:</w:t>
            </w:r>
          </w:p>
          <w:p w:rsidR="00000000" w:rsidRPr="004A2B77" w:rsidP="004A2B77">
            <w:pPr>
              <w:pStyle w:val="ListBullet"/>
            </w:pPr>
            <w:r w:rsidRPr="004A2B77">
              <w:t>tungsten, diamond-tipped and steel augers</w:t>
            </w:r>
          </w:p>
          <w:p w:rsidR="00000000" w:rsidRPr="004A2B77" w:rsidP="004A2B77">
            <w:pPr>
              <w:pStyle w:val="ListBullet"/>
            </w:pPr>
            <w:r w:rsidRPr="004A2B77">
              <w:t>impact and overload protection</w:t>
            </w:r>
          </w:p>
          <w:p w:rsidR="00000000" w:rsidP="004A2B77">
            <w:pPr>
              <w:pStyle w:val="ListBullet"/>
              <w:rPr>
                <w:lang w:val="en-NZ"/>
              </w:rPr>
            </w:pPr>
            <w:r w:rsidRPr="004A2B77">
              <w:t>height adjustment</w:t>
            </w:r>
          </w:p>
        </w:tc>
      </w:tr>
      <w:tr w:rsidTr="008C15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Servicing and 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Servicing and repair methods may include:</w:t>
            </w:r>
          </w:p>
          <w:p w:rsidR="00000000" w:rsidRPr="004A2B77" w:rsidP="004A2B77">
            <w:pPr>
              <w:pStyle w:val="ListBullet"/>
            </w:pPr>
            <w:r w:rsidRPr="004A2B77">
              <w:t>on- and off-site servicing and repair</w:t>
            </w:r>
          </w:p>
          <w:p w:rsidR="00000000" w:rsidRPr="004A2B77" w:rsidP="004A2B77">
            <w:pPr>
              <w:pStyle w:val="ListBullet"/>
            </w:pPr>
            <w:r w:rsidRPr="004A2B77">
              <w:t>inspection, repair and replacement of components</w:t>
            </w:r>
          </w:p>
          <w:p w:rsidR="00000000" w:rsidRPr="004A2B77" w:rsidP="004A2B77">
            <w:pPr>
              <w:pStyle w:val="ListBullet"/>
            </w:pPr>
            <w:r w:rsidRPr="004A2B77">
              <w:t>adjustments</w:t>
            </w:r>
          </w:p>
          <w:p w:rsidR="00000000" w:rsidRPr="004A2B77" w:rsidP="004A2B77">
            <w:pPr>
              <w:pStyle w:val="ListBullet"/>
            </w:pPr>
            <w:r w:rsidRPr="004A2B77">
              <w:t>lubricating</w:t>
            </w:r>
          </w:p>
          <w:p w:rsidR="00000000" w:rsidRPr="004A2B77" w:rsidP="004A2B77">
            <w:pPr>
              <w:pStyle w:val="ListBullet"/>
            </w:pPr>
            <w:r w:rsidRPr="004A2B77">
              <w:t>testing of repaired unit, including overload protection</w:t>
            </w:r>
          </w:p>
          <w:p w:rsidR="00000000" w:rsidRPr="004A2B77" w:rsidP="004A2B77">
            <w:pPr>
              <w:pStyle w:val="ListBullet"/>
            </w:pPr>
            <w:r w:rsidRPr="004A2B77">
              <w:t>communicating with customers</w:t>
            </w:r>
          </w:p>
          <w:p w:rsidR="00000000" w:rsidP="004A2B77">
            <w:pPr>
              <w:pStyle w:val="ListBullet"/>
              <w:rPr>
                <w:lang w:val="en-NZ"/>
              </w:rPr>
            </w:pPr>
            <w:r w:rsidRPr="004A2B77">
              <w:t>documenting and reporting on service and repair</w:t>
            </w:r>
          </w:p>
        </w:tc>
      </w:tr>
      <w:tr w:rsidTr="008C15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Tooling and equipment may include:</w:t>
            </w:r>
          </w:p>
          <w:p w:rsidR="00000000" w:rsidRPr="004A2B77" w:rsidP="004A2B77">
            <w:pPr>
              <w:pStyle w:val="ListBullet"/>
            </w:pPr>
            <w:r w:rsidRPr="004A2B77">
              <w:t>equipment/floor stands</w:t>
            </w:r>
          </w:p>
          <w:p w:rsidR="00000000" w:rsidRPr="004A2B77" w:rsidP="004A2B77">
            <w:pPr>
              <w:pStyle w:val="ListBullet"/>
            </w:pPr>
            <w:r w:rsidRPr="004A2B77">
              <w:t>specific service/repair and general workshop equipment and tooling</w:t>
            </w:r>
          </w:p>
          <w:p w:rsidR="00000000" w:rsidRPr="004A2B77" w:rsidP="004A2B77">
            <w:pPr>
              <w:pStyle w:val="ListBullet"/>
            </w:pPr>
            <w:r w:rsidRPr="004A2B77">
              <w:t>jacks, air and electric tooling</w:t>
            </w:r>
          </w:p>
          <w:p w:rsidR="00000000" w:rsidRPr="004A2B77" w:rsidP="004A2B77">
            <w:pPr>
              <w:pStyle w:val="ListBullet"/>
            </w:pPr>
            <w:r w:rsidRPr="004A2B77">
              <w:t>measuring equipment</w:t>
            </w:r>
          </w:p>
          <w:p w:rsidR="00000000" w:rsidRPr="004A2B77" w:rsidP="004A2B77">
            <w:pPr>
              <w:pStyle w:val="ListBullet"/>
            </w:pPr>
            <w:r w:rsidRPr="004A2B77">
              <w:t>exhaust</w:t>
            </w:r>
            <w:r w:rsidRPr="004A2B77">
              <w:t xml:space="preserve"> gas extraction system</w:t>
            </w:r>
          </w:p>
          <w:p w:rsidR="00000000" w:rsidRPr="004A2B77" w:rsidP="004A2B77">
            <w:pPr>
              <w:pStyle w:val="ListBullet"/>
            </w:pPr>
            <w:r w:rsidRPr="004A2B77">
              <w:t xml:space="preserve">lifting equipment </w:t>
            </w:r>
          </w:p>
          <w:p w:rsidR="00000000" w:rsidRPr="004A2B77" w:rsidP="004A2B77">
            <w:pPr>
              <w:pStyle w:val="ListBullet"/>
            </w:pPr>
            <w:r w:rsidRPr="004A2B77">
              <w:t>welding equipment</w:t>
            </w:r>
          </w:p>
          <w:p w:rsidR="00000000" w:rsidP="004A2B77">
            <w:pPr>
              <w:pStyle w:val="ListBullet"/>
              <w:rPr>
                <w:lang w:val="en-NZ"/>
              </w:rPr>
            </w:pPr>
            <w:r w:rsidRPr="004A2B77">
              <w:t>lubricating equipment</w:t>
            </w:r>
          </w:p>
        </w:tc>
      </w:tr>
      <w:tr w:rsidTr="008C15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Materials may include:</w:t>
            </w:r>
          </w:p>
          <w:p w:rsidR="00000000" w:rsidRPr="004A2B77" w:rsidP="004A2B77">
            <w:pPr>
              <w:pStyle w:val="ListBullet"/>
            </w:pPr>
            <w:r w:rsidRPr="004A2B77">
              <w:t xml:space="preserve">spare parts </w:t>
            </w:r>
          </w:p>
          <w:p w:rsidR="00000000" w:rsidRPr="004A2B77" w:rsidP="004A2B77">
            <w:pPr>
              <w:pStyle w:val="ListBullet"/>
            </w:pPr>
            <w:r w:rsidRPr="004A2B77">
              <w:t>lubricants</w:t>
            </w:r>
          </w:p>
          <w:p w:rsidR="00000000" w:rsidP="004A2B77">
            <w:pPr>
              <w:pStyle w:val="ListBullet"/>
              <w:rPr>
                <w:lang w:val="en-NZ"/>
              </w:rPr>
            </w:pPr>
            <w:r w:rsidRPr="004A2B77">
              <w:t>cleaning materials</w:t>
            </w:r>
          </w:p>
        </w:tc>
      </w:tr>
      <w:tr w:rsidTr="008C15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Information</w:t>
            </w:r>
            <w:r w:rsidRPr="004A2B77">
              <w:t>/</w:t>
            </w:r>
            <w:r w:rsidRPr="004A2B77">
              <w:rPr>
                <w:rStyle w:val="SpecialBold"/>
              </w:rPr>
              <w:t>documents</w:t>
            </w:r>
            <w:r w:rsidRPr="004A2B77">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Information/documents may include:</w:t>
            </w:r>
          </w:p>
          <w:p w:rsidR="00000000" w:rsidRPr="004A2B77" w:rsidP="004A2B77">
            <w:pPr>
              <w:pStyle w:val="ListBullet"/>
            </w:pPr>
            <w:r w:rsidRPr="004A2B77">
              <w:t>verbal or written and graphical instructions, signage, work schedules/plans/specifications, work bulletins, memos, material safety data sheets (MSDS), diagrams or sketches</w:t>
            </w:r>
          </w:p>
          <w:p w:rsidR="00000000" w:rsidRPr="004A2B77" w:rsidP="004A2B77">
            <w:pPr>
              <w:pStyle w:val="ListBullet"/>
            </w:pPr>
            <w:r w:rsidRPr="004A2B77">
              <w:t>safe work procedures related to servicing and repairing post-hole digging systems</w:t>
            </w:r>
          </w:p>
          <w:p w:rsidR="00000000" w:rsidRPr="004A2B77" w:rsidP="004A2B77">
            <w:pPr>
              <w:pStyle w:val="ListBullet"/>
            </w:pPr>
            <w:r w:rsidRPr="004A2B77">
              <w:t>re</w:t>
            </w:r>
            <w:r w:rsidRPr="004A2B77">
              <w:t>gulatory/legislative requirements pertaining to post-hole digging systems</w:t>
            </w:r>
          </w:p>
          <w:p w:rsidR="00000000" w:rsidRPr="004A2B77" w:rsidP="004A2B77">
            <w:pPr>
              <w:pStyle w:val="ListBullet"/>
            </w:pPr>
            <w:r w:rsidRPr="004A2B77">
              <w:t>engineer's design specifications and instructions</w:t>
            </w:r>
          </w:p>
          <w:p w:rsidR="00000000" w:rsidRPr="004A2B77" w:rsidP="004A2B77">
            <w:pPr>
              <w:pStyle w:val="ListBullet"/>
            </w:pPr>
            <w:r w:rsidRPr="004A2B77">
              <w:t>organisation work specifications and requirements</w:t>
            </w:r>
          </w:p>
          <w:p w:rsidR="00000000" w:rsidRPr="004A2B77" w:rsidP="004A2B77">
            <w:pPr>
              <w:pStyle w:val="ListBullet"/>
            </w:pPr>
            <w:r w:rsidRPr="004A2B77">
              <w:t xml:space="preserve">instructions issued by authorised enterprise or external persons </w:t>
            </w:r>
          </w:p>
          <w:p w:rsidR="00000000" w:rsidP="004A2B77">
            <w:pPr>
              <w:pStyle w:val="ListBullet"/>
              <w:rPr>
                <w:lang w:val="en-NZ"/>
              </w:rPr>
            </w:pPr>
            <w:r w:rsidRPr="004A2B77">
              <w:t>Australian stand</w:t>
            </w:r>
            <w:r w:rsidRPr="004A2B77">
              <w:t>ards</w:t>
            </w:r>
          </w:p>
        </w:tc>
      </w:tr>
      <w:tr w:rsidTr="008C15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WHS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WHS requirements are to be in accordance with applicable commonwealth, state or territory legislation and regulations, and organisational safety policies and procedures, and may include:</w:t>
            </w:r>
          </w:p>
          <w:p w:rsidR="00000000" w:rsidRPr="004A2B77" w:rsidP="004A2B77">
            <w:pPr>
              <w:pStyle w:val="ListBullet"/>
            </w:pPr>
            <w:r w:rsidRPr="004A2B77">
              <w:t>personal protective equipment and clothing</w:t>
            </w:r>
          </w:p>
          <w:p w:rsidR="00000000" w:rsidRPr="004A2B77" w:rsidP="004A2B77">
            <w:pPr>
              <w:pStyle w:val="ListBullet"/>
            </w:pPr>
            <w:r w:rsidRPr="004A2B77">
              <w:t>safety equipment</w:t>
            </w:r>
          </w:p>
          <w:p w:rsidR="00000000" w:rsidRPr="004A2B77" w:rsidP="004A2B77">
            <w:pPr>
              <w:pStyle w:val="ListBullet"/>
            </w:pPr>
            <w:r w:rsidRPr="004A2B77">
              <w:t>first aid equipment</w:t>
            </w:r>
          </w:p>
          <w:p w:rsidR="00000000" w:rsidRPr="004A2B77" w:rsidP="004A2B77">
            <w:pPr>
              <w:pStyle w:val="ListBullet"/>
            </w:pPr>
            <w:r w:rsidRPr="004A2B77">
              <w:t>hazard and risk control</w:t>
            </w:r>
          </w:p>
          <w:p w:rsidR="00000000" w:rsidRPr="004A2B77" w:rsidP="004A2B77">
            <w:pPr>
              <w:pStyle w:val="ListBullet"/>
            </w:pPr>
            <w:r w:rsidRPr="004A2B77">
              <w:t>elimination of hazardous materials and substances</w:t>
            </w:r>
          </w:p>
          <w:p w:rsidR="00000000" w:rsidRPr="004A2B77" w:rsidP="004A2B77">
            <w:pPr>
              <w:pStyle w:val="ListBullet"/>
            </w:pPr>
            <w:r w:rsidRPr="004A2B77">
              <w:t>manual handling, including shifting, lifting and carrying</w:t>
            </w:r>
          </w:p>
          <w:p w:rsidR="00000000" w:rsidP="004A2B77">
            <w:pPr>
              <w:pStyle w:val="ListBullet"/>
              <w:rPr>
                <w:lang w:val="en-NZ"/>
              </w:rPr>
            </w:pPr>
            <w:r w:rsidRPr="004A2B77">
              <w:t>emergency procedures</w:t>
            </w:r>
          </w:p>
        </w:tc>
      </w:tr>
      <w:tr w:rsidTr="008C15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Legislative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Legislative requirements are to be in ac</w:t>
            </w:r>
            <w:r w:rsidRPr="004A2B77">
              <w:t>cordance with applicable commonwealth, state or territory legislation, regulations, certification requirements and codes of practice, and may include:</w:t>
            </w:r>
          </w:p>
          <w:p w:rsidR="00000000" w:rsidRPr="004A2B77" w:rsidP="004A2B77">
            <w:pPr>
              <w:pStyle w:val="ListBullet"/>
            </w:pPr>
            <w:r w:rsidRPr="004A2B77">
              <w:t>award and enterprise agreements</w:t>
            </w:r>
          </w:p>
          <w:p w:rsidR="00000000" w:rsidRPr="004A2B77" w:rsidP="004A2B77">
            <w:pPr>
              <w:pStyle w:val="ListBullet"/>
            </w:pPr>
            <w:r w:rsidRPr="004A2B77">
              <w:t>industrial relations</w:t>
            </w:r>
          </w:p>
          <w:p w:rsidR="00000000" w:rsidRPr="004A2B77" w:rsidP="004A2B77">
            <w:pPr>
              <w:pStyle w:val="ListBullet"/>
            </w:pPr>
            <w:r w:rsidRPr="004A2B77">
              <w:t>Australian standards</w:t>
            </w:r>
          </w:p>
          <w:p w:rsidR="00000000" w:rsidRPr="004A2B77" w:rsidP="004A2B77">
            <w:pPr>
              <w:pStyle w:val="ListBullet"/>
            </w:pPr>
            <w:r w:rsidRPr="004A2B77">
              <w:t>Australian Design Rules</w:t>
            </w:r>
          </w:p>
          <w:p w:rsidR="00000000" w:rsidRPr="004A2B77" w:rsidP="004A2B77">
            <w:pPr>
              <w:pStyle w:val="ListBullet"/>
            </w:pPr>
            <w:r w:rsidRPr="004A2B77">
              <w:t>confidentiality and privacy</w:t>
            </w:r>
          </w:p>
          <w:p w:rsidR="00000000" w:rsidRPr="004A2B77" w:rsidP="004A2B77">
            <w:pPr>
              <w:pStyle w:val="ListBullet"/>
            </w:pPr>
            <w:r w:rsidRPr="004A2B77">
              <w:t>WHS</w:t>
            </w:r>
          </w:p>
          <w:p w:rsidR="00000000" w:rsidRPr="004A2B77" w:rsidP="004A2B77">
            <w:pPr>
              <w:pStyle w:val="ListBullet"/>
            </w:pPr>
            <w:r w:rsidRPr="004A2B77">
              <w:t>the environment</w:t>
            </w:r>
          </w:p>
          <w:p w:rsidR="00000000" w:rsidRPr="004A2B77" w:rsidP="004A2B77">
            <w:pPr>
              <w:pStyle w:val="ListBullet"/>
            </w:pPr>
            <w:r w:rsidRPr="004A2B77">
              <w:t>equal opportunity</w:t>
            </w:r>
          </w:p>
          <w:p w:rsidR="00000000" w:rsidRPr="004A2B77" w:rsidP="004A2B77">
            <w:pPr>
              <w:pStyle w:val="ListBullet"/>
            </w:pPr>
            <w:r w:rsidRPr="004A2B77">
              <w:t>anti-discrimination</w:t>
            </w:r>
          </w:p>
          <w:p w:rsidR="00000000" w:rsidRPr="004A2B77" w:rsidP="004A2B77">
            <w:pPr>
              <w:pStyle w:val="ListBullet"/>
            </w:pPr>
            <w:r w:rsidRPr="004A2B77">
              <w:t>relevant industry codes of practice</w:t>
            </w:r>
          </w:p>
          <w:p w:rsidR="00000000" w:rsidP="004A2B77">
            <w:pPr>
              <w:pStyle w:val="ListBullet"/>
              <w:rPr>
                <w:lang w:val="en-NZ"/>
              </w:rPr>
            </w:pPr>
            <w:r w:rsidRPr="004A2B77">
              <w:t>duty of care</w:t>
            </w:r>
          </w:p>
        </w:tc>
      </w:tr>
      <w:tr w:rsidTr="008C15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 xml:space="preserve">Environmental requirements may include: </w:t>
            </w:r>
          </w:p>
          <w:p w:rsidR="00000000" w:rsidRPr="004A2B77" w:rsidP="004A2B77">
            <w:pPr>
              <w:pStyle w:val="ListBullet"/>
            </w:pPr>
            <w:r w:rsidRPr="004A2B77">
              <w:t>waste management</w:t>
            </w:r>
          </w:p>
          <w:p w:rsidR="00000000" w:rsidRPr="004A2B77" w:rsidP="004A2B77">
            <w:pPr>
              <w:pStyle w:val="ListBullet"/>
            </w:pPr>
            <w:r w:rsidRPr="004A2B77">
              <w:t>pollution</w:t>
            </w:r>
          </w:p>
          <w:p w:rsidR="00000000" w:rsidRPr="004A2B77" w:rsidP="004A2B77">
            <w:pPr>
              <w:pStyle w:val="ListBullet"/>
            </w:pPr>
            <w:r w:rsidRPr="004A2B77">
              <w:t>noise</w:t>
            </w:r>
          </w:p>
          <w:p w:rsidR="00000000" w:rsidRPr="004A2B77" w:rsidP="004A2B77">
            <w:pPr>
              <w:pStyle w:val="ListBullet"/>
            </w:pPr>
            <w:r w:rsidRPr="004A2B77">
              <w:t>dust</w:t>
            </w:r>
          </w:p>
          <w:p w:rsidR="00000000" w:rsidP="004A2B77">
            <w:pPr>
              <w:pStyle w:val="ListBullet"/>
              <w:rPr>
                <w:lang w:val="en-NZ"/>
              </w:rPr>
            </w:pPr>
            <w:r w:rsidRPr="004A2B77">
              <w:t>clean-up management</w:t>
            </w:r>
          </w:p>
        </w:tc>
      </w:tr>
      <w:tr w:rsidTr="008C15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Quality requirements may include:</w:t>
            </w:r>
          </w:p>
          <w:p w:rsidR="00000000" w:rsidRPr="004A2B77" w:rsidP="004A2B77">
            <w:pPr>
              <w:pStyle w:val="ListBullet"/>
            </w:pPr>
            <w:r w:rsidRPr="004A2B77">
              <w:t>regulations, including Australian standards</w:t>
            </w:r>
          </w:p>
          <w:p w:rsidR="00000000" w:rsidRPr="004A2B77" w:rsidP="004A2B77">
            <w:pPr>
              <w:pStyle w:val="ListBullet"/>
            </w:pPr>
            <w:r w:rsidRPr="004A2B77">
              <w:t>internal organisational quality policies and procedures</w:t>
            </w:r>
          </w:p>
          <w:p w:rsidR="00000000" w:rsidP="004A2B77">
            <w:pPr>
              <w:pStyle w:val="ListBullet"/>
              <w:rPr>
                <w:lang w:val="en-NZ"/>
              </w:rPr>
            </w:pPr>
            <w:r w:rsidRPr="004A2B77">
              <w:t>enterprise operations and procedures</w:t>
            </w:r>
          </w:p>
        </w:tc>
      </w:tr>
      <w:tr w:rsidTr="008C15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Or</w:t>
            </w:r>
            <w:r w:rsidRPr="004A2B77">
              <w:t>ganisational policies and procedures may include:</w:t>
            </w:r>
          </w:p>
          <w:p w:rsidR="00000000" w:rsidRPr="004A2B77" w:rsidP="004A2B77">
            <w:pPr>
              <w:pStyle w:val="ListBullet"/>
            </w:pPr>
            <w:r w:rsidRPr="004A2B77">
              <w:t>quality policies and procedures, including Australian standards</w:t>
            </w:r>
          </w:p>
          <w:p w:rsidR="00000000" w:rsidRPr="004A2B77" w:rsidP="004A2B77">
            <w:pPr>
              <w:pStyle w:val="ListBullet"/>
            </w:pPr>
            <w:r w:rsidRPr="004A2B77">
              <w:t xml:space="preserve">WHS, sustainability, environment, equal opportunity and anti-discrimination </w:t>
            </w:r>
          </w:p>
          <w:p w:rsidR="00000000" w:rsidRPr="004A2B77" w:rsidP="004A2B77">
            <w:pPr>
              <w:pStyle w:val="ListBullet"/>
            </w:pPr>
            <w:r w:rsidRPr="004A2B77">
              <w:t>manufacturer specifications and industry codes of practice</w:t>
            </w:r>
          </w:p>
          <w:p w:rsidR="00000000" w:rsidRPr="004A2B77" w:rsidP="004A2B77">
            <w:pPr>
              <w:pStyle w:val="ListBullet"/>
            </w:pPr>
            <w:r w:rsidRPr="004A2B77">
              <w:t xml:space="preserve">safe </w:t>
            </w:r>
            <w:r w:rsidRPr="004A2B77">
              <w:t xml:space="preserve">work procedures </w:t>
            </w:r>
          </w:p>
          <w:p w:rsidR="00000000" w:rsidRPr="004A2B77" w:rsidP="004A2B77">
            <w:pPr>
              <w:pStyle w:val="ListBullet"/>
            </w:pPr>
            <w:r w:rsidRPr="004A2B77">
              <w:t>reporting and recording procedures</w:t>
            </w:r>
          </w:p>
        </w:tc>
      </w:tr>
    </w:tbl>
    <w:p w:rsidR="00000000" w:rsidRPr="004A2B77" w:rsidP="004A2B77">
      <w:pPr>
        <w:pStyle w:val="BodyText"/>
      </w:pPr>
    </w:p>
    <w:p w:rsidR="00000000" w:rsidRPr="004A2B77" w:rsidP="004A2B77">
      <w:pPr>
        <w:pStyle w:val="AllowPageBreak"/>
      </w:pPr>
    </w:p>
    <w:p w:rsidR="00000000" w:rsidRPr="004A2B77" w:rsidP="004A2B77">
      <w:pPr>
        <w:pStyle w:val="Heading1"/>
      </w:pPr>
      <w:bookmarkStart w:id="12" w:name="O_484116"/>
      <w:bookmarkEnd w:id="12"/>
      <w:r w:rsidRPr="004A2B77">
        <w:t>Unit Sector(s)</w:t>
      </w:r>
    </w:p>
    <w:tbl>
      <w:tblPr>
        <w:tblW w:w="0" w:type="auto"/>
        <w:tblLayout w:type="fixed"/>
        <w:tblCellMar>
          <w:left w:w="62" w:type="dxa"/>
          <w:right w:w="62" w:type="dxa"/>
        </w:tblCellMar>
        <w:tblLook w:val="0000"/>
      </w:tblPr>
      <w:tblGrid>
        <w:gridCol w:w="2617"/>
        <w:gridCol w:w="5905"/>
      </w:tblGrid>
      <w:tr w:rsidTr="008C15D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Outdoor Power Equipment</w:t>
            </w:r>
          </w:p>
        </w:tc>
      </w:tr>
    </w:tbl>
    <w:p w:rsidR="00000000" w:rsidRPr="004A2B77" w:rsidP="004A2B77">
      <w:pPr>
        <w:pStyle w:val="BodyText"/>
      </w:pPr>
    </w:p>
    <w:p w:rsidR="00000000" w:rsidRPr="004A2B77" w:rsidP="004A2B77">
      <w:pPr>
        <w:pStyle w:val="AllowPageBreak"/>
      </w:pPr>
    </w:p>
    <w:p w:rsidR="00000000" w:rsidRPr="004A2B77" w:rsidP="004A2B77">
      <w:pPr>
        <w:pStyle w:val="Heading1"/>
      </w:pPr>
      <w:bookmarkStart w:id="13" w:name="O_484105"/>
      <w:bookmarkEnd w:id="13"/>
      <w:r w:rsidRPr="004A2B77">
        <w:t>Co-requisite units</w:t>
      </w:r>
    </w:p>
    <w:p w:rsidR="00000000" w:rsidRPr="004A2B77" w:rsidP="004A2B77">
      <w:pPr>
        <w:pStyle w:val="BodyText"/>
      </w:pPr>
      <w:r w:rsidRPr="004A2B77">
        <w:t>Not applicable.</w:t>
      </w:r>
    </w:p>
    <w:p w:rsidR="00000000" w:rsidRPr="004A2B77" w:rsidP="004A2B77">
      <w:pPr>
        <w:pStyle w:val="AllowPageBreak"/>
      </w:pPr>
    </w:p>
    <w:p w:rsidR="00000000" w:rsidRPr="004A2B77" w:rsidP="004A2B77">
      <w:pPr>
        <w:pStyle w:val="Heading1"/>
      </w:pPr>
      <w:bookmarkStart w:id="14" w:name="O_484104"/>
      <w:bookmarkEnd w:id="14"/>
      <w:r w:rsidRPr="004A2B77">
        <w:t>Competency field</w:t>
      </w:r>
    </w:p>
    <w:tbl>
      <w:tblPr>
        <w:tblW w:w="0" w:type="auto"/>
        <w:tblLayout w:type="fixed"/>
        <w:tblCellMar>
          <w:left w:w="62" w:type="dxa"/>
          <w:right w:w="62" w:type="dxa"/>
        </w:tblCellMar>
        <w:tblLook w:val="0000"/>
      </w:tblPr>
      <w:tblGrid>
        <w:gridCol w:w="2784"/>
        <w:gridCol w:w="5738"/>
      </w:tblGrid>
      <w:tr w:rsidTr="008C15D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2B77">
            <w:pPr>
              <w:pStyle w:val="BodyText"/>
              <w:rPr>
                <w:lang w:val="en-NZ"/>
              </w:rPr>
            </w:pPr>
            <w:r w:rsidRPr="004A2B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2B77" w:rsidP="004A2B77">
            <w:pPr>
              <w:pStyle w:val="BodyText"/>
            </w:pPr>
            <w:r w:rsidRPr="004A2B77">
              <w:t>Technical</w:t>
            </w:r>
          </w:p>
        </w:tc>
      </w:tr>
    </w:tbl>
    <w:p w:rsidR="00000000" w:rsidRPr="004A2B77" w:rsidP="004A2B77">
      <w:pPr>
        <w:pStyle w:val="BodyText"/>
      </w:pPr>
    </w:p>
    <w:p w:rsidR="00000000" w:rsidRPr="004A2B77" w:rsidP="004A2B77"/>
    <w:sectPr w:rsidSect="004A2B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5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5D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5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5DC" w:rsidP="004A2B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8C15DC" w:rsidP="004A2B7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C15DC" w:rsidP="004A2B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5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B77" w:rsidRPr="008C15DC" w:rsidP="008C15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5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5DC" w:rsidRPr="002D2AF8" w:rsidP="004A2B77">
    <w:pPr>
      <w:pStyle w:val="Header"/>
      <w:framePr w:wrap="around"/>
    </w:pPr>
    <w:r>
      <w:fldChar w:fldCharType="begin"/>
    </w:r>
    <w:r>
      <w:instrText xml:space="preserve"> TITLE   \* MERGEFORMAT </w:instrText>
    </w:r>
    <w:r>
      <w:fldChar w:fldCharType="separate"/>
    </w:r>
    <w:r>
      <w:t>AURPTA2008 Service and repair post-hole digging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C15DC" w:rsidP="004A2B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8878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98C2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686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B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2B77"/>
    <w:pPr>
      <w:spacing w:before="360" w:after="60"/>
      <w:outlineLvl w:val="0"/>
    </w:pPr>
    <w:rPr>
      <w:sz w:val="32"/>
    </w:rPr>
  </w:style>
  <w:style w:type="paragraph" w:styleId="Heading2">
    <w:name w:val="heading 2"/>
    <w:basedOn w:val="HeadingBase"/>
    <w:next w:val="BodyText"/>
    <w:link w:val="Heading2Char"/>
    <w:qFormat/>
    <w:rsid w:val="004A2B77"/>
    <w:pPr>
      <w:keepLines/>
      <w:spacing w:before="240" w:after="120"/>
      <w:outlineLvl w:val="1"/>
    </w:pPr>
    <w:rPr>
      <w:sz w:val="28"/>
      <w:szCs w:val="40"/>
    </w:rPr>
  </w:style>
  <w:style w:type="paragraph" w:styleId="Heading3">
    <w:name w:val="heading 3"/>
    <w:basedOn w:val="HeadingBase"/>
    <w:next w:val="BodyText"/>
    <w:link w:val="Heading3Char"/>
    <w:qFormat/>
    <w:rsid w:val="004A2B77"/>
    <w:pPr>
      <w:spacing w:before="180" w:after="120"/>
      <w:outlineLvl w:val="2"/>
    </w:pPr>
    <w:rPr>
      <w:spacing w:val="-10"/>
      <w:kern w:val="32"/>
    </w:rPr>
  </w:style>
  <w:style w:type="paragraph" w:styleId="Heading4">
    <w:name w:val="heading 4"/>
    <w:basedOn w:val="HeadingBase"/>
    <w:next w:val="BodyText"/>
    <w:link w:val="Heading4Char"/>
    <w:qFormat/>
    <w:rsid w:val="004A2B77"/>
    <w:pPr>
      <w:spacing w:before="160" w:after="120"/>
      <w:outlineLvl w:val="3"/>
    </w:pPr>
    <w:rPr>
      <w:sz w:val="22"/>
    </w:rPr>
  </w:style>
  <w:style w:type="paragraph" w:styleId="Heading5">
    <w:name w:val="heading 5"/>
    <w:basedOn w:val="HeadingBase"/>
    <w:next w:val="Normal"/>
    <w:link w:val="Heading5Char"/>
    <w:qFormat/>
    <w:rsid w:val="004A2B77"/>
    <w:pPr>
      <w:spacing w:before="80"/>
      <w:outlineLvl w:val="4"/>
    </w:pPr>
    <w:rPr>
      <w:color w:val="918585"/>
      <w:sz w:val="20"/>
    </w:rPr>
  </w:style>
  <w:style w:type="paragraph" w:styleId="Heading6">
    <w:name w:val="heading 6"/>
    <w:basedOn w:val="HeadingBase"/>
    <w:next w:val="Normal"/>
    <w:link w:val="Heading6Char"/>
    <w:qFormat/>
    <w:rsid w:val="004A2B77"/>
    <w:pPr>
      <w:spacing w:before="60"/>
      <w:outlineLvl w:val="5"/>
    </w:pPr>
    <w:rPr>
      <w:color w:val="918585"/>
      <w:sz w:val="20"/>
    </w:rPr>
  </w:style>
  <w:style w:type="paragraph" w:styleId="Heading7">
    <w:name w:val="heading 7"/>
    <w:basedOn w:val="Normal"/>
    <w:next w:val="Normal"/>
    <w:link w:val="Heading7Char"/>
    <w:qFormat/>
    <w:rsid w:val="004A2B77"/>
    <w:pPr>
      <w:ind w:left="720"/>
      <w:outlineLvl w:val="6"/>
    </w:pPr>
    <w:rPr>
      <w:i/>
    </w:rPr>
  </w:style>
  <w:style w:type="paragraph" w:styleId="Heading8">
    <w:name w:val="heading 8"/>
    <w:basedOn w:val="Normal"/>
    <w:next w:val="Normal"/>
    <w:link w:val="Heading8Char"/>
    <w:qFormat/>
    <w:rsid w:val="004A2B77"/>
    <w:pPr>
      <w:ind w:left="720"/>
      <w:outlineLvl w:val="7"/>
    </w:pPr>
    <w:rPr>
      <w:i/>
    </w:rPr>
  </w:style>
  <w:style w:type="paragraph" w:styleId="Heading9">
    <w:name w:val="heading 9"/>
    <w:basedOn w:val="Normal"/>
    <w:next w:val="Normal"/>
    <w:link w:val="Heading9Char"/>
    <w:qFormat/>
    <w:rsid w:val="004A2B77"/>
    <w:pPr>
      <w:ind w:left="720"/>
      <w:outlineLvl w:val="8"/>
    </w:pPr>
    <w:rPr>
      <w:i/>
    </w:rPr>
  </w:style>
  <w:style w:type="character" w:default="1" w:styleId="DefaultParagraphFont">
    <w:name w:val="Default Paragraph Font"/>
    <w:uiPriority w:val="1"/>
    <w:unhideWhenUsed/>
    <w:rsid w:val="004A2B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2B77"/>
  </w:style>
  <w:style w:type="character" w:customStyle="1" w:styleId="Heading1Char">
    <w:name w:val="Heading 1 Char"/>
    <w:basedOn w:val="DefaultParagraphFont"/>
    <w:link w:val="Heading1"/>
    <w:rsid w:val="004A2B77"/>
    <w:rPr>
      <w:rFonts w:ascii="Times New Roman" w:eastAsia="Times New Roman" w:hAnsi="Times New Roman" w:cs="Times New Roman"/>
      <w:b/>
      <w:sz w:val="32"/>
      <w:szCs w:val="20"/>
      <w:lang w:eastAsia="en-US"/>
    </w:rPr>
  </w:style>
  <w:style w:type="paragraph" w:styleId="BodyText">
    <w:name w:val="Body Text"/>
    <w:basedOn w:val="Normal"/>
    <w:link w:val="BodyTextChar"/>
    <w:rsid w:val="004A2B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2B77"/>
    <w:rPr>
      <w:rFonts w:ascii="Times New Roman" w:eastAsia="Times New Roman" w:hAnsi="Times New Roman" w:cs="Times New Roman"/>
      <w:sz w:val="24"/>
      <w:lang w:eastAsia="en-US"/>
    </w:rPr>
  </w:style>
  <w:style w:type="paragraph" w:styleId="List">
    <w:name w:val="List"/>
    <w:basedOn w:val="BodyText"/>
    <w:next w:val="BodyText"/>
    <w:rsid w:val="004A2B77"/>
    <w:pPr>
      <w:tabs>
        <w:tab w:val="left" w:pos="340"/>
      </w:tabs>
      <w:spacing w:before="60" w:after="60"/>
      <w:ind w:left="340" w:hanging="340"/>
    </w:pPr>
  </w:style>
  <w:style w:type="paragraph" w:styleId="ListBullet">
    <w:name w:val="List Bullet"/>
    <w:basedOn w:val="List"/>
    <w:rsid w:val="004A2B77"/>
    <w:pPr>
      <w:numPr>
        <w:numId w:val="13"/>
      </w:numPr>
      <w:tabs>
        <w:tab w:val="clear" w:pos="340"/>
      </w:tabs>
      <w:spacing w:before="40" w:after="40"/>
    </w:pPr>
  </w:style>
  <w:style w:type="character" w:customStyle="1" w:styleId="SpecialBold">
    <w:name w:val="Special Bold"/>
    <w:basedOn w:val="DefaultParagraphFont"/>
    <w:rsid w:val="004A2B77"/>
    <w:rPr>
      <w:b/>
      <w:spacing w:val="0"/>
    </w:rPr>
  </w:style>
  <w:style w:type="paragraph" w:styleId="ListBullet2">
    <w:name w:val="List Bullet 2"/>
    <w:basedOn w:val="List2"/>
    <w:rsid w:val="004A2B77"/>
    <w:pPr>
      <w:numPr>
        <w:numId w:val="14"/>
      </w:numPr>
      <w:tabs>
        <w:tab w:val="clear" w:pos="680"/>
      </w:tabs>
    </w:pPr>
  </w:style>
  <w:style w:type="paragraph" w:customStyle="1" w:styleId="SuperHeading">
    <w:name w:val="SuperHeading"/>
    <w:basedOn w:val="Normal"/>
    <w:rsid w:val="004A2B77"/>
    <w:pPr>
      <w:spacing w:before="240" w:after="120"/>
      <w:outlineLvl w:val="0"/>
    </w:pPr>
    <w:rPr>
      <w:rFonts w:ascii="Times New Roman" w:hAnsi="Times New Roman"/>
      <w:b/>
      <w:sz w:val="32"/>
    </w:rPr>
  </w:style>
  <w:style w:type="paragraph" w:customStyle="1" w:styleId="AllowPageBreak">
    <w:name w:val="AllowPageBreak"/>
    <w:rsid w:val="004A2B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2B77"/>
    <w:pPr>
      <w:tabs>
        <w:tab w:val="left" w:pos="680"/>
      </w:tabs>
      <w:spacing w:before="60" w:after="60"/>
      <w:ind w:left="680" w:hanging="340"/>
    </w:pPr>
  </w:style>
  <w:style w:type="character" w:customStyle="1" w:styleId="Heading2Char">
    <w:name w:val="Heading 2 Char"/>
    <w:basedOn w:val="DefaultParagraphFont"/>
    <w:link w:val="Heading2"/>
    <w:rsid w:val="004A2B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2B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2B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2B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2B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2B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2B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2B77"/>
    <w:rPr>
      <w:rFonts w:ascii="Courier New" w:eastAsia="Times New Roman" w:hAnsi="Courier New" w:cs="Times New Roman"/>
      <w:i/>
      <w:szCs w:val="20"/>
      <w:lang w:eastAsia="en-US"/>
    </w:rPr>
  </w:style>
  <w:style w:type="paragraph" w:customStyle="1" w:styleId="HeadingBase">
    <w:name w:val="Heading Base"/>
    <w:rsid w:val="004A2B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2B77"/>
    <w:pPr>
      <w:tabs>
        <w:tab w:val="right" w:leader="dot" w:pos="9072"/>
      </w:tabs>
      <w:ind w:left="567"/>
    </w:pPr>
    <w:rPr>
      <w:szCs w:val="22"/>
    </w:rPr>
  </w:style>
  <w:style w:type="paragraph" w:customStyle="1" w:styleId="TOCBase">
    <w:name w:val="TOC Base"/>
    <w:rsid w:val="004A2B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2B77"/>
    <w:pPr>
      <w:tabs>
        <w:tab w:val="right" w:leader="dot" w:pos="9072"/>
      </w:tabs>
      <w:spacing w:before="40" w:after="40"/>
      <w:ind w:left="284"/>
    </w:pPr>
    <w:rPr>
      <w:rFonts w:ascii="Times New Roman" w:hAnsi="Times New Roman"/>
    </w:rPr>
  </w:style>
  <w:style w:type="paragraph" w:styleId="TOC1">
    <w:name w:val="toc 1"/>
    <w:basedOn w:val="TOCBase"/>
    <w:next w:val="Normal"/>
    <w:rsid w:val="004A2B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2B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2B77"/>
    <w:rPr>
      <w:rFonts w:ascii="Times New Roman" w:eastAsia="Times New Roman" w:hAnsi="Times New Roman" w:cs="Times New Roman"/>
      <w:sz w:val="16"/>
      <w:lang w:eastAsia="en-US"/>
    </w:rPr>
  </w:style>
  <w:style w:type="paragraph" w:styleId="Title">
    <w:name w:val="Title"/>
    <w:basedOn w:val="HeadingBase"/>
    <w:link w:val="TitleChar"/>
    <w:qFormat/>
    <w:rsid w:val="004A2B77"/>
    <w:pPr>
      <w:spacing w:before="5040"/>
      <w:jc w:val="center"/>
    </w:pPr>
    <w:rPr>
      <w:sz w:val="48"/>
      <w:szCs w:val="72"/>
      <w:lang w:val="en-US"/>
    </w:rPr>
  </w:style>
  <w:style w:type="character" w:customStyle="1" w:styleId="TitleChar">
    <w:name w:val="Title Char"/>
    <w:basedOn w:val="DefaultParagraphFont"/>
    <w:link w:val="Title"/>
    <w:rsid w:val="004A2B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2B77"/>
    <w:pPr>
      <w:tabs>
        <w:tab w:val="left" w:pos="3600"/>
        <w:tab w:val="left" w:pos="3958"/>
      </w:tabs>
    </w:pPr>
  </w:style>
  <w:style w:type="paragraph" w:customStyle="1" w:styleId="Note">
    <w:name w:val="Note"/>
    <w:basedOn w:val="BodyText"/>
    <w:rsid w:val="004A2B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2B77"/>
    <w:pPr>
      <w:framePr w:wrap="auto" w:hAnchor="text" w:y="6049"/>
    </w:pPr>
    <w:rPr>
      <w:color w:val="000000"/>
      <w:sz w:val="40"/>
    </w:rPr>
  </w:style>
  <w:style w:type="paragraph" w:customStyle="1" w:styleId="TOCTitle">
    <w:name w:val="TOCTitle"/>
    <w:basedOn w:val="Heading1"/>
    <w:rsid w:val="004A2B77"/>
    <w:pPr>
      <w:spacing w:after="240"/>
      <w:jc w:val="center"/>
      <w:outlineLvl w:val="9"/>
    </w:pPr>
    <w:rPr>
      <w:caps/>
    </w:rPr>
  </w:style>
  <w:style w:type="paragraph" w:customStyle="1" w:styleId="Version">
    <w:name w:val="Version"/>
    <w:rsid w:val="004A2B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2B77"/>
    <w:pPr>
      <w:keepNext w:val="0"/>
      <w:tabs>
        <w:tab w:val="right" w:pos="4176"/>
      </w:tabs>
      <w:ind w:left="198" w:hanging="198"/>
    </w:pPr>
    <w:rPr>
      <w:rFonts w:ascii="Garamond" w:hAnsi="Garamond"/>
    </w:rPr>
  </w:style>
  <w:style w:type="paragraph" w:styleId="IndexHeading">
    <w:name w:val="index heading"/>
    <w:basedOn w:val="Normal"/>
    <w:next w:val="Index1"/>
    <w:semiHidden/>
    <w:rsid w:val="004A2B77"/>
    <w:pPr>
      <w:spacing w:before="120" w:after="120"/>
    </w:pPr>
    <w:rPr>
      <w:rFonts w:ascii="Arial" w:hAnsi="Arial"/>
      <w:b/>
      <w:color w:val="918585"/>
      <w:sz w:val="24"/>
    </w:rPr>
  </w:style>
  <w:style w:type="paragraph" w:styleId="Header">
    <w:name w:val="header"/>
    <w:basedOn w:val="Normal"/>
    <w:link w:val="HeaderChar"/>
    <w:rsid w:val="004A2B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2B77"/>
    <w:rPr>
      <w:rFonts w:ascii="Times New Roman" w:eastAsia="Times New Roman" w:hAnsi="Times New Roman" w:cs="Times New Roman"/>
      <w:sz w:val="16"/>
      <w:szCs w:val="20"/>
      <w:lang w:val="en-GB" w:eastAsia="en-US"/>
    </w:rPr>
  </w:style>
  <w:style w:type="paragraph" w:customStyle="1" w:styleId="Chapter">
    <w:name w:val="Chapter"/>
    <w:basedOn w:val="Normal"/>
    <w:rsid w:val="004A2B77"/>
    <w:pPr>
      <w:spacing w:before="240"/>
    </w:pPr>
    <w:rPr>
      <w:rFonts w:ascii="Times New Roman" w:hAnsi="Times New Roman"/>
      <w:smallCaps/>
      <w:spacing w:val="80"/>
      <w:sz w:val="28"/>
    </w:rPr>
  </w:style>
  <w:style w:type="paragraph" w:customStyle="1" w:styleId="InChapter">
    <w:name w:val="InChapter"/>
    <w:basedOn w:val="Heading3"/>
    <w:rsid w:val="004A2B77"/>
    <w:pPr>
      <w:spacing w:after="240"/>
      <w:outlineLvl w:val="9"/>
    </w:pPr>
    <w:rPr>
      <w:noProof/>
    </w:rPr>
  </w:style>
  <w:style w:type="paragraph" w:styleId="Index2">
    <w:name w:val="index 2"/>
    <w:basedOn w:val="Normal"/>
    <w:next w:val="Normal"/>
    <w:semiHidden/>
    <w:rsid w:val="004A2B77"/>
    <w:pPr>
      <w:tabs>
        <w:tab w:val="right" w:pos="4176"/>
      </w:tabs>
      <w:ind w:left="568" w:hanging="284"/>
    </w:pPr>
    <w:rPr>
      <w:rFonts w:ascii="Garamond" w:hAnsi="Garamond"/>
    </w:rPr>
  </w:style>
  <w:style w:type="paragraph" w:customStyle="1" w:styleId="Byline">
    <w:name w:val="Byline"/>
    <w:rsid w:val="004A2B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2B77"/>
    <w:pPr>
      <w:tabs>
        <w:tab w:val="clear" w:pos="3600"/>
        <w:tab w:val="clear" w:pos="3958"/>
      </w:tabs>
      <w:jc w:val="right"/>
    </w:pPr>
  </w:style>
  <w:style w:type="character" w:styleId="Emphasis">
    <w:name w:val="Emphasis"/>
    <w:basedOn w:val="DefaultParagraphFont"/>
    <w:qFormat/>
    <w:rsid w:val="004A2B77"/>
    <w:rPr>
      <w:i/>
    </w:rPr>
  </w:style>
  <w:style w:type="paragraph" w:styleId="Caption">
    <w:name w:val="caption"/>
    <w:basedOn w:val="BodyText"/>
    <w:next w:val="Normal"/>
    <w:qFormat/>
    <w:rsid w:val="004A2B77"/>
    <w:pPr>
      <w:framePr w:w="2268" w:hSpace="181" w:vSpace="181" w:wrap="around" w:vAnchor="text" w:hAnchor="page" w:x="1135" w:y="285" w:anchorLock="1"/>
    </w:pPr>
    <w:rPr>
      <w:i/>
    </w:rPr>
  </w:style>
  <w:style w:type="paragraph" w:customStyle="1" w:styleId="MiniTOCTitle">
    <w:name w:val="MiniTOCTitle"/>
    <w:basedOn w:val="Heading4"/>
    <w:rsid w:val="004A2B77"/>
    <w:pPr>
      <w:spacing w:before="240"/>
      <w:outlineLvl w:val="9"/>
    </w:pPr>
    <w:rPr>
      <w:noProof/>
      <w:sz w:val="24"/>
    </w:rPr>
  </w:style>
  <w:style w:type="paragraph" w:customStyle="1" w:styleId="MiniTOCItem">
    <w:name w:val="MiniTOCItem"/>
    <w:basedOn w:val="ListBullet"/>
    <w:rsid w:val="004A2B77"/>
    <w:pPr>
      <w:numPr>
        <w:numId w:val="0"/>
      </w:numPr>
      <w:tabs>
        <w:tab w:val="right" w:leader="dot" w:pos="6521"/>
      </w:tabs>
      <w:spacing w:before="0" w:after="0"/>
    </w:pPr>
  </w:style>
  <w:style w:type="paragraph" w:customStyle="1" w:styleId="TOFTitle">
    <w:name w:val="TOFTitle"/>
    <w:basedOn w:val="TOCTitle"/>
    <w:rsid w:val="004A2B77"/>
  </w:style>
  <w:style w:type="paragraph" w:styleId="TableofFigures">
    <w:name w:val="table of figures"/>
    <w:basedOn w:val="Normal"/>
    <w:next w:val="Normal"/>
    <w:semiHidden/>
    <w:rsid w:val="004A2B77"/>
    <w:pPr>
      <w:tabs>
        <w:tab w:val="right" w:leader="dot" w:pos="9072"/>
      </w:tabs>
      <w:ind w:left="970" w:hanging="403"/>
    </w:pPr>
    <w:rPr>
      <w:rFonts w:ascii="Times New Roman" w:hAnsi="Times New Roman"/>
      <w:b/>
    </w:rPr>
  </w:style>
  <w:style w:type="paragraph" w:styleId="ListNumber">
    <w:name w:val="List Number"/>
    <w:basedOn w:val="List"/>
    <w:rsid w:val="004A2B77"/>
    <w:pPr>
      <w:numPr>
        <w:numId w:val="11"/>
      </w:numPr>
    </w:pPr>
  </w:style>
  <w:style w:type="character" w:customStyle="1" w:styleId="WingdingSymbols">
    <w:name w:val="Wingding Symbols"/>
    <w:rsid w:val="004A2B77"/>
    <w:rPr>
      <w:rFonts w:ascii="Wingdings" w:hAnsi="Wingdings"/>
    </w:rPr>
  </w:style>
  <w:style w:type="paragraph" w:customStyle="1" w:styleId="TableHeading">
    <w:name w:val="Table Heading"/>
    <w:basedOn w:val="HeadingBase"/>
    <w:rsid w:val="004A2B77"/>
    <w:pPr>
      <w:keepLines/>
      <w:pBdr>
        <w:bottom w:val="single" w:sz="6" w:space="1" w:color="918585"/>
      </w:pBdr>
      <w:spacing w:before="240"/>
    </w:pPr>
  </w:style>
  <w:style w:type="character" w:customStyle="1" w:styleId="HotSpot">
    <w:name w:val="HotSpot"/>
    <w:rsid w:val="004A2B77"/>
    <w:rPr>
      <w:color w:val="0033CC"/>
      <w:u w:val="none"/>
    </w:rPr>
  </w:style>
  <w:style w:type="paragraph" w:customStyle="1" w:styleId="BodyTextRight">
    <w:name w:val="Body Text Right"/>
    <w:basedOn w:val="BodyText"/>
    <w:rsid w:val="004A2B77"/>
    <w:pPr>
      <w:spacing w:before="0" w:after="0"/>
      <w:jc w:val="right"/>
    </w:pPr>
  </w:style>
  <w:style w:type="paragraph" w:styleId="Index3">
    <w:name w:val="index 3"/>
    <w:basedOn w:val="ListNumber2"/>
    <w:next w:val="Normal"/>
    <w:semiHidden/>
    <w:rsid w:val="004A2B77"/>
    <w:pPr>
      <w:numPr>
        <w:numId w:val="0"/>
      </w:numPr>
      <w:tabs>
        <w:tab w:val="right" w:leader="dot" w:pos="4176"/>
      </w:tabs>
    </w:pPr>
  </w:style>
  <w:style w:type="paragraph" w:styleId="ListNumber2">
    <w:name w:val="List Number 2"/>
    <w:basedOn w:val="List2"/>
    <w:rsid w:val="004A2B77"/>
    <w:pPr>
      <w:numPr>
        <w:numId w:val="10"/>
      </w:numPr>
      <w:tabs>
        <w:tab w:val="clear" w:pos="1060"/>
      </w:tabs>
    </w:pPr>
  </w:style>
  <w:style w:type="paragraph" w:customStyle="1" w:styleId="MarginNote">
    <w:name w:val="Margin Note"/>
    <w:basedOn w:val="BodyText"/>
    <w:rsid w:val="004A2B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2B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2B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2B77"/>
    <w:rPr>
      <w:sz w:val="32"/>
    </w:rPr>
  </w:style>
  <w:style w:type="paragraph" w:customStyle="1" w:styleId="HeadingProcedure">
    <w:name w:val="Heading Procedure"/>
    <w:basedOn w:val="HeadingBase"/>
    <w:next w:val="Normal"/>
    <w:rsid w:val="004A2B77"/>
    <w:pPr>
      <w:tabs>
        <w:tab w:val="left" w:pos="0"/>
      </w:tabs>
      <w:spacing w:before="120" w:after="60"/>
    </w:pPr>
    <w:rPr>
      <w:i/>
      <w:color w:val="918585"/>
      <w:sz w:val="22"/>
    </w:rPr>
  </w:style>
  <w:style w:type="paragraph" w:customStyle="1" w:styleId="TableBodyText">
    <w:name w:val="Table Body Text"/>
    <w:basedOn w:val="BodyText"/>
    <w:rsid w:val="004A2B77"/>
    <w:pPr>
      <w:spacing w:before="60" w:after="60"/>
    </w:pPr>
  </w:style>
  <w:style w:type="paragraph" w:styleId="ListContinue">
    <w:name w:val="List Continue"/>
    <w:basedOn w:val="List"/>
    <w:rsid w:val="004A2B77"/>
    <w:pPr>
      <w:ind w:firstLine="0"/>
    </w:pPr>
  </w:style>
  <w:style w:type="paragraph" w:customStyle="1" w:styleId="ListNote">
    <w:name w:val="List Note"/>
    <w:basedOn w:val="List"/>
    <w:rsid w:val="004A2B77"/>
    <w:pPr>
      <w:pBdr>
        <w:top w:val="single" w:sz="6" w:space="2" w:color="918585"/>
        <w:bottom w:val="single" w:sz="6" w:space="2" w:color="918585"/>
      </w:pBdr>
      <w:tabs>
        <w:tab w:val="left" w:pos="1021"/>
      </w:tabs>
      <w:ind w:firstLine="0"/>
    </w:pPr>
  </w:style>
  <w:style w:type="paragraph" w:customStyle="1" w:styleId="Warning">
    <w:name w:val="Warning"/>
    <w:basedOn w:val="BodyText"/>
    <w:rsid w:val="004A2B77"/>
    <w:pPr>
      <w:shd w:val="clear" w:color="auto" w:fill="D9D9D9"/>
      <w:tabs>
        <w:tab w:val="left" w:pos="992"/>
      </w:tabs>
      <w:ind w:left="119" w:right="119"/>
    </w:pPr>
    <w:rPr>
      <w:sz w:val="20"/>
    </w:rPr>
  </w:style>
  <w:style w:type="paragraph" w:customStyle="1" w:styleId="MarginIcons">
    <w:name w:val="Margin Icons"/>
    <w:basedOn w:val="BodyText"/>
    <w:rsid w:val="004A2B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2B77"/>
    <w:rPr>
      <w:rFonts w:ascii="Courier New" w:hAnsi="Courier New"/>
    </w:rPr>
  </w:style>
  <w:style w:type="paragraph" w:customStyle="1" w:styleId="NoteBullet">
    <w:name w:val="Note Bullet"/>
    <w:basedOn w:val="Note"/>
    <w:rsid w:val="004A2B77"/>
    <w:pPr>
      <w:tabs>
        <w:tab w:val="clear" w:pos="680"/>
      </w:tabs>
      <w:spacing w:before="60" w:after="60"/>
    </w:pPr>
  </w:style>
  <w:style w:type="paragraph" w:customStyle="1" w:styleId="SubHeading2">
    <w:name w:val="SubHeading2"/>
    <w:basedOn w:val="HeadingBase"/>
    <w:rsid w:val="004A2B77"/>
    <w:pPr>
      <w:spacing w:before="240" w:after="60"/>
    </w:pPr>
    <w:rPr>
      <w:sz w:val="20"/>
    </w:rPr>
  </w:style>
  <w:style w:type="paragraph" w:customStyle="1" w:styleId="SubHeading1">
    <w:name w:val="SubHeading1"/>
    <w:basedOn w:val="HeadingBase"/>
    <w:rsid w:val="004A2B77"/>
    <w:pPr>
      <w:spacing w:before="240" w:after="60"/>
    </w:pPr>
    <w:rPr>
      <w:color w:val="918585"/>
      <w:sz w:val="22"/>
    </w:rPr>
  </w:style>
  <w:style w:type="paragraph" w:customStyle="1" w:styleId="SideHeading">
    <w:name w:val="Side Heading"/>
    <w:basedOn w:val="HeadingBase"/>
    <w:rsid w:val="004A2B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2B77"/>
    <w:pPr>
      <w:numPr>
        <w:numId w:val="12"/>
      </w:numPr>
    </w:pPr>
  </w:style>
  <w:style w:type="paragraph" w:styleId="PlainText">
    <w:name w:val="Plain Text"/>
    <w:basedOn w:val="Normal"/>
    <w:link w:val="PlainTextChar"/>
    <w:rsid w:val="004A2B77"/>
    <w:rPr>
      <w:sz w:val="20"/>
    </w:rPr>
  </w:style>
  <w:style w:type="character" w:customStyle="1" w:styleId="PlainTextChar">
    <w:name w:val="Plain Text Char"/>
    <w:basedOn w:val="DefaultParagraphFont"/>
    <w:link w:val="PlainText"/>
    <w:rsid w:val="004A2B77"/>
    <w:rPr>
      <w:rFonts w:ascii="Courier New" w:eastAsia="Times New Roman" w:hAnsi="Courier New" w:cs="Times New Roman"/>
      <w:sz w:val="20"/>
      <w:szCs w:val="20"/>
      <w:lang w:eastAsia="en-US"/>
    </w:rPr>
  </w:style>
  <w:style w:type="character" w:customStyle="1" w:styleId="MenuOption">
    <w:name w:val="Menu Option"/>
    <w:basedOn w:val="DefaultParagraphFont"/>
    <w:rsid w:val="004A2B77"/>
    <w:rPr>
      <w:b/>
      <w:smallCaps/>
    </w:rPr>
  </w:style>
  <w:style w:type="paragraph" w:customStyle="1" w:styleId="TableListNumber">
    <w:name w:val="Table List Number"/>
    <w:basedOn w:val="ListNumber"/>
    <w:rsid w:val="004A2B77"/>
    <w:pPr>
      <w:numPr>
        <w:numId w:val="0"/>
      </w:numPr>
    </w:pPr>
  </w:style>
  <w:style w:type="paragraph" w:styleId="TOC4">
    <w:name w:val="toc 4"/>
    <w:basedOn w:val="TOCBase"/>
    <w:next w:val="Normal"/>
    <w:semiHidden/>
    <w:rsid w:val="004A2B77"/>
    <w:pPr>
      <w:tabs>
        <w:tab w:val="right" w:leader="dot" w:pos="9071"/>
      </w:tabs>
      <w:ind w:left="1701"/>
    </w:pPr>
  </w:style>
  <w:style w:type="paragraph" w:customStyle="1" w:styleId="ListAlpha">
    <w:name w:val="List Alpha"/>
    <w:basedOn w:val="List"/>
    <w:rsid w:val="004A2B77"/>
    <w:pPr>
      <w:numPr>
        <w:numId w:val="9"/>
      </w:numPr>
    </w:pPr>
  </w:style>
  <w:style w:type="paragraph" w:customStyle="1" w:styleId="ListAlpha2">
    <w:name w:val="List Alpha 2"/>
    <w:basedOn w:val="List2"/>
    <w:rsid w:val="004A2B77"/>
    <w:pPr>
      <w:numPr>
        <w:numId w:val="8"/>
      </w:numPr>
    </w:pPr>
  </w:style>
  <w:style w:type="paragraph" w:styleId="List3">
    <w:name w:val="List 3"/>
    <w:basedOn w:val="BodyText"/>
    <w:rsid w:val="004A2B77"/>
    <w:pPr>
      <w:tabs>
        <w:tab w:val="left" w:pos="1021"/>
      </w:tabs>
      <w:spacing w:before="60" w:after="60"/>
      <w:ind w:left="1020" w:hanging="340"/>
    </w:pPr>
  </w:style>
  <w:style w:type="paragraph" w:styleId="List4">
    <w:name w:val="List 4"/>
    <w:basedOn w:val="BodyText"/>
    <w:rsid w:val="004A2B77"/>
    <w:pPr>
      <w:tabs>
        <w:tab w:val="left" w:pos="1361"/>
      </w:tabs>
      <w:spacing w:before="60" w:after="60"/>
      <w:ind w:left="1361" w:hanging="340"/>
    </w:pPr>
  </w:style>
  <w:style w:type="paragraph" w:styleId="List5">
    <w:name w:val="List 5"/>
    <w:basedOn w:val="BodyText"/>
    <w:rsid w:val="004A2B77"/>
    <w:pPr>
      <w:tabs>
        <w:tab w:val="left" w:pos="1701"/>
      </w:tabs>
      <w:spacing w:before="60" w:after="60"/>
      <w:ind w:left="1701" w:hanging="340"/>
    </w:pPr>
  </w:style>
  <w:style w:type="paragraph" w:styleId="ListBullet3">
    <w:name w:val="List Bullet 3"/>
    <w:basedOn w:val="List3"/>
    <w:rsid w:val="004A2B77"/>
    <w:pPr>
      <w:numPr>
        <w:numId w:val="15"/>
      </w:numPr>
      <w:tabs>
        <w:tab w:val="clear" w:pos="1021"/>
      </w:tabs>
      <w:ind w:left="1037" w:hanging="357"/>
    </w:pPr>
  </w:style>
  <w:style w:type="paragraph" w:styleId="ListBullet4">
    <w:name w:val="List Bullet 4"/>
    <w:basedOn w:val="List4"/>
    <w:rsid w:val="004A2B77"/>
    <w:pPr>
      <w:numPr>
        <w:numId w:val="3"/>
      </w:numPr>
    </w:pPr>
  </w:style>
  <w:style w:type="paragraph" w:styleId="ListBullet5">
    <w:name w:val="List Bullet 5"/>
    <w:basedOn w:val="List5"/>
    <w:rsid w:val="004A2B77"/>
    <w:pPr>
      <w:numPr>
        <w:numId w:val="4"/>
      </w:numPr>
    </w:pPr>
  </w:style>
  <w:style w:type="paragraph" w:styleId="ListContinue2">
    <w:name w:val="List Continue 2"/>
    <w:basedOn w:val="List2"/>
    <w:rsid w:val="004A2B77"/>
    <w:pPr>
      <w:ind w:firstLine="0"/>
    </w:pPr>
  </w:style>
  <w:style w:type="paragraph" w:styleId="ListContinue3">
    <w:name w:val="List Continue 3"/>
    <w:basedOn w:val="List3"/>
    <w:rsid w:val="004A2B77"/>
    <w:pPr>
      <w:ind w:left="1021" w:firstLine="0"/>
    </w:pPr>
  </w:style>
  <w:style w:type="paragraph" w:styleId="ListContinue4">
    <w:name w:val="List Continue 4"/>
    <w:basedOn w:val="List4"/>
    <w:rsid w:val="004A2B77"/>
    <w:pPr>
      <w:ind w:firstLine="0"/>
    </w:pPr>
  </w:style>
  <w:style w:type="paragraph" w:styleId="ListContinue5">
    <w:name w:val="List Continue 5"/>
    <w:basedOn w:val="List5"/>
    <w:rsid w:val="004A2B77"/>
    <w:pPr>
      <w:ind w:firstLine="0"/>
    </w:pPr>
  </w:style>
  <w:style w:type="paragraph" w:styleId="ListNumber3">
    <w:name w:val="List Number 3"/>
    <w:basedOn w:val="List3"/>
    <w:rsid w:val="004A2B77"/>
    <w:pPr>
      <w:numPr>
        <w:numId w:val="5"/>
      </w:numPr>
    </w:pPr>
  </w:style>
  <w:style w:type="paragraph" w:styleId="ListNumber4">
    <w:name w:val="List Number 4"/>
    <w:basedOn w:val="List4"/>
    <w:rsid w:val="004A2B77"/>
    <w:pPr>
      <w:numPr>
        <w:numId w:val="6"/>
      </w:numPr>
    </w:pPr>
  </w:style>
  <w:style w:type="paragraph" w:styleId="ListNumber5">
    <w:name w:val="List Number 5"/>
    <w:basedOn w:val="List5"/>
    <w:rsid w:val="004A2B77"/>
    <w:pPr>
      <w:numPr>
        <w:numId w:val="7"/>
      </w:numPr>
    </w:pPr>
  </w:style>
  <w:style w:type="paragraph" w:styleId="BlockText">
    <w:name w:val="Block Text"/>
    <w:basedOn w:val="Normal"/>
    <w:rsid w:val="004A2B77"/>
    <w:pPr>
      <w:spacing w:after="120"/>
      <w:ind w:left="1440" w:right="1440"/>
    </w:pPr>
  </w:style>
  <w:style w:type="character" w:customStyle="1" w:styleId="Subscript">
    <w:name w:val="Subscript"/>
    <w:basedOn w:val="DefaultParagraphFont"/>
    <w:rsid w:val="004A2B77"/>
    <w:rPr>
      <w:sz w:val="16"/>
      <w:vertAlign w:val="subscript"/>
    </w:rPr>
  </w:style>
  <w:style w:type="character" w:customStyle="1" w:styleId="Superscript">
    <w:name w:val="Superscript"/>
    <w:basedOn w:val="DefaultParagraphFont"/>
    <w:rsid w:val="004A2B77"/>
    <w:rPr>
      <w:sz w:val="16"/>
      <w:vertAlign w:val="superscript"/>
    </w:rPr>
  </w:style>
  <w:style w:type="character" w:customStyle="1" w:styleId="Symbols">
    <w:name w:val="Symbols"/>
    <w:basedOn w:val="DefaultParagraphFont"/>
    <w:rsid w:val="004A2B77"/>
    <w:rPr>
      <w:rFonts w:ascii="Symbol" w:hAnsi="Symbol"/>
    </w:rPr>
  </w:style>
  <w:style w:type="character" w:customStyle="1" w:styleId="MenuOptions">
    <w:name w:val="Menu Options"/>
    <w:basedOn w:val="DefaultParagraphFont"/>
    <w:rsid w:val="004A2B77"/>
    <w:rPr>
      <w:rFonts w:ascii="Arial Narrow" w:hAnsi="Arial Narrow"/>
      <w:smallCaps/>
    </w:rPr>
  </w:style>
  <w:style w:type="character" w:customStyle="1" w:styleId="Buttons">
    <w:name w:val="Buttons"/>
    <w:basedOn w:val="DefaultParagraphFont"/>
    <w:rsid w:val="004A2B77"/>
    <w:rPr>
      <w:b/>
    </w:rPr>
  </w:style>
  <w:style w:type="character" w:customStyle="1" w:styleId="Underlined">
    <w:name w:val="Underlined"/>
    <w:basedOn w:val="DefaultParagraphFont"/>
    <w:rsid w:val="004A2B77"/>
    <w:rPr>
      <w:u w:val="single"/>
    </w:rPr>
  </w:style>
  <w:style w:type="paragraph" w:customStyle="1" w:styleId="TableBodyTextRight">
    <w:name w:val="Table Body Text Right"/>
    <w:basedOn w:val="TableBodyText"/>
    <w:rsid w:val="004A2B77"/>
    <w:pPr>
      <w:widowControl w:val="0"/>
      <w:autoSpaceDE w:val="0"/>
      <w:autoSpaceDN w:val="0"/>
      <w:adjustRightInd w:val="0"/>
      <w:jc w:val="right"/>
    </w:pPr>
    <w:rPr>
      <w:rFonts w:cs="Arial"/>
      <w:szCs w:val="18"/>
    </w:rPr>
  </w:style>
  <w:style w:type="paragraph" w:customStyle="1" w:styleId="CopyrightText">
    <w:name w:val="Copyright Text"/>
    <w:basedOn w:val="BodyText"/>
    <w:rsid w:val="004A2B77"/>
    <w:rPr>
      <w:sz w:val="18"/>
    </w:rPr>
  </w:style>
  <w:style w:type="paragraph" w:customStyle="1" w:styleId="BodySmallRight">
    <w:name w:val="Body Small Right"/>
    <w:basedOn w:val="BodyTextRight"/>
    <w:rsid w:val="004A2B77"/>
    <w:rPr>
      <w:sz w:val="18"/>
      <w:szCs w:val="18"/>
    </w:rPr>
  </w:style>
  <w:style w:type="paragraph" w:customStyle="1" w:styleId="MarginEdition">
    <w:name w:val="Margin Edition"/>
    <w:basedOn w:val="MarginNote"/>
    <w:rsid w:val="004A2B77"/>
    <w:pPr>
      <w:spacing w:before="0" w:after="0"/>
    </w:pPr>
    <w:rPr>
      <w:rFonts w:ascii="Times New Roman" w:hAnsi="Times New Roman"/>
      <w:color w:val="999999"/>
    </w:rPr>
  </w:style>
  <w:style w:type="paragraph" w:customStyle="1" w:styleId="Spacer">
    <w:name w:val="Spacer"/>
    <w:basedOn w:val="Normal"/>
    <w:rsid w:val="004A2B77"/>
    <w:rPr>
      <w:sz w:val="2"/>
      <w:szCs w:val="2"/>
    </w:rPr>
  </w:style>
  <w:style w:type="character" w:customStyle="1" w:styleId="Small">
    <w:name w:val="Small"/>
    <w:basedOn w:val="DefaultParagraphFont"/>
    <w:rsid w:val="004A2B77"/>
    <w:rPr>
      <w:sz w:val="16"/>
    </w:rPr>
  </w:style>
  <w:style w:type="paragraph" w:customStyle="1" w:styleId="WideTable">
    <w:name w:val="Wide Table"/>
    <w:basedOn w:val="Normal"/>
    <w:rsid w:val="004A2B77"/>
    <w:pPr>
      <w:ind w:left="-1418"/>
    </w:pPr>
    <w:rPr>
      <w:sz w:val="2"/>
      <w:szCs w:val="2"/>
    </w:rPr>
  </w:style>
  <w:style w:type="character" w:styleId="PageNumber">
    <w:name w:val="page number"/>
    <w:basedOn w:val="DefaultParagraphFont"/>
    <w:rsid w:val="004A2B77"/>
  </w:style>
  <w:style w:type="paragraph" w:styleId="Quote">
    <w:name w:val="Quote"/>
    <w:basedOn w:val="Heading1"/>
    <w:link w:val="QuoteChar"/>
    <w:qFormat/>
    <w:rsid w:val="004A2B77"/>
    <w:rPr>
      <w:b w:val="0"/>
      <w:sz w:val="72"/>
      <w:szCs w:val="72"/>
      <w:lang w:val="en-NZ"/>
    </w:rPr>
  </w:style>
  <w:style w:type="character" w:customStyle="1" w:styleId="QuoteChar">
    <w:name w:val="Quote Char"/>
    <w:basedOn w:val="DefaultParagraphFont"/>
    <w:link w:val="Quote"/>
    <w:rsid w:val="004A2B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2B77"/>
    <w:pPr>
      <w:pageBreakBefore/>
    </w:pPr>
  </w:style>
  <w:style w:type="paragraph" w:customStyle="1" w:styleId="Border">
    <w:name w:val="Border"/>
    <w:basedOn w:val="Normal"/>
    <w:qFormat/>
    <w:rsid w:val="004A2B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2B77"/>
    <w:rPr>
      <w:b/>
      <w:bCs/>
      <w:i/>
      <w:iCs/>
      <w:color w:val="auto"/>
    </w:rPr>
  </w:style>
  <w:style w:type="paragraph" w:styleId="IntenseQuote">
    <w:name w:val="Intense Quote"/>
    <w:basedOn w:val="Normal"/>
    <w:next w:val="Normal"/>
    <w:link w:val="IntenseQuoteChar"/>
    <w:uiPriority w:val="30"/>
    <w:qFormat/>
    <w:rsid w:val="004A2B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2B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2B77"/>
    <w:rPr>
      <w:smallCaps/>
      <w:color w:val="auto"/>
      <w:u w:val="single"/>
    </w:rPr>
  </w:style>
  <w:style w:type="character" w:styleId="IntenseReference">
    <w:name w:val="Intense Reference"/>
    <w:basedOn w:val="DefaultParagraphFont"/>
    <w:uiPriority w:val="32"/>
    <w:qFormat/>
    <w:rsid w:val="004A2B77"/>
    <w:rPr>
      <w:b/>
      <w:bCs/>
      <w:smallCaps/>
      <w:color w:val="auto"/>
      <w:spacing w:val="5"/>
      <w:u w:val="single"/>
    </w:rPr>
  </w:style>
  <w:style w:type="paragraph" w:customStyle="1" w:styleId="2ColumnHeading">
    <w:name w:val="2Column Heading"/>
    <w:basedOn w:val="BodyText"/>
    <w:qFormat/>
    <w:rsid w:val="004A2B77"/>
    <w:pPr>
      <w:spacing w:after="60"/>
      <w:ind w:left="-2268"/>
    </w:pPr>
    <w:rPr>
      <w:b/>
    </w:rPr>
  </w:style>
  <w:style w:type="paragraph" w:customStyle="1" w:styleId="Heading1TOC">
    <w:name w:val="Heading1 TOC"/>
    <w:basedOn w:val="Normal"/>
    <w:qFormat/>
    <w:rsid w:val="004A2B77"/>
    <w:pPr>
      <w:spacing w:before="240" w:after="120"/>
    </w:pPr>
    <w:rPr>
      <w:rFonts w:ascii="Times New Roman" w:hAnsi="Times New Roman"/>
      <w:b/>
      <w:sz w:val="32"/>
    </w:rPr>
  </w:style>
  <w:style w:type="paragraph" w:customStyle="1" w:styleId="Heading2TOC">
    <w:name w:val="Heading2 TOC"/>
    <w:basedOn w:val="Normal"/>
    <w:qFormat/>
    <w:rsid w:val="004A2B77"/>
    <w:pPr>
      <w:spacing w:before="240" w:after="60"/>
    </w:pPr>
    <w:rPr>
      <w:rFonts w:ascii="Times New Roman" w:hAnsi="Times New Roman"/>
      <w:b/>
      <w:sz w:val="28"/>
    </w:rPr>
  </w:style>
  <w:style w:type="character" w:customStyle="1" w:styleId="Underline">
    <w:name w:val="Underline"/>
    <w:basedOn w:val="DefaultParagraphFont"/>
    <w:qFormat/>
    <w:rsid w:val="004A2B77"/>
    <w:rPr>
      <w:u w:val="single"/>
    </w:rPr>
  </w:style>
  <w:style w:type="character" w:customStyle="1" w:styleId="BoldandItalics">
    <w:name w:val="Bold and Italics"/>
    <w:qFormat/>
    <w:rsid w:val="004A2B77"/>
    <w:rPr>
      <w:b/>
      <w:i/>
      <w:u w:val="none"/>
    </w:rPr>
  </w:style>
  <w:style w:type="paragraph" w:styleId="BalloonText">
    <w:name w:val="Balloon Text"/>
    <w:basedOn w:val="Normal"/>
    <w:link w:val="BalloonTextChar"/>
    <w:rsid w:val="004A2B77"/>
    <w:rPr>
      <w:rFonts w:ascii="Tahoma" w:hAnsi="Tahoma" w:cs="Tahoma"/>
      <w:sz w:val="16"/>
      <w:szCs w:val="16"/>
    </w:rPr>
  </w:style>
  <w:style w:type="character" w:customStyle="1" w:styleId="BalloonTextChar">
    <w:name w:val="Balloon Text Char"/>
    <w:basedOn w:val="DefaultParagraphFont"/>
    <w:link w:val="BalloonText"/>
    <w:rsid w:val="004A2B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2B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2B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2B77"/>
    <w:rPr>
      <w:b/>
      <w:color w:val="660033"/>
      <w:spacing w:val="0"/>
    </w:rPr>
  </w:style>
  <w:style w:type="paragraph" w:customStyle="1" w:styleId="Nameditemlist">
    <w:name w:val="Named item list"/>
    <w:basedOn w:val="BodyText"/>
    <w:qFormat/>
    <w:rsid w:val="004A2B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1749</Words>
  <Characters>11599</Characters>
  <Application>Microsoft Office Word</Application>
  <DocSecurity>0</DocSecurity>
  <Lines>378</Lines>
  <Paragraphs>216</Paragraphs>
  <ScaleCrop>false</ScaleCrop>
  <Company>Author-it Software Corporation Ltd.</Company>
  <LinksUpToDate>false</LinksUpToDate>
  <CharactersWithSpaces>13259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AURPTA2008 Service and repair post-hole digging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2013-01-15T09:45:00Z</dcterms:created>
  <dcterms:modified xsi:type="dcterms:W3CDTF">2013-01-15T09:45:00Z</dcterms:modified>
</cp:coreProperties>
</file>