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909" w:rsidP="00577909">
      <w:pPr>
        <w:pStyle w:val="Title"/>
      </w:pPr>
      <w:r>
        <w:fldChar w:fldCharType="begin"/>
      </w:r>
      <w:r>
        <w:instrText xml:space="preserve"> TITLE   \* MERGEFORMAT </w:instrText>
      </w:r>
      <w:r>
        <w:fldChar w:fldCharType="separate"/>
      </w:r>
      <w:r>
        <w:t>AURETR4040 Diagnose complex electrical and electronic faults in vehicle monitoring and protection systems</w:t>
      </w:r>
      <w:r>
        <w:fldChar w:fldCharType="end"/>
      </w:r>
    </w:p>
    <w:p w:rsidR="00577909" w:rsidP="00577909">
      <w:pPr>
        <w:pStyle w:val="Version"/>
        <w:sectPr w:rsidSect="00F77E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E6B" w:rsidP="00F77E6B">
      <w:pPr>
        <w:pStyle w:val="SuperHeading"/>
      </w:pPr>
      <w:r w:rsidRPr="00F77E6B">
        <w:t>AURETR4040 Diagnose complex electrical and electronic faults in vehicle monitoring and protection systems</w:t>
      </w:r>
    </w:p>
    <w:p w:rsidR="00000000" w:rsidRPr="00F77E6B" w:rsidP="00F77E6B">
      <w:pPr>
        <w:pStyle w:val="Heading1"/>
      </w:pPr>
      <w:bookmarkStart w:id="1" w:name="O_492429"/>
      <w:bookmarkEnd w:id="1"/>
      <w:r w:rsidRPr="00F77E6B">
        <w:t>Modification History</w:t>
      </w:r>
    </w:p>
    <w:tbl>
      <w:tblPr>
        <w:tblW w:w="9637" w:type="dxa"/>
        <w:tblLayout w:type="fixed"/>
        <w:tblCellMar>
          <w:left w:w="62" w:type="dxa"/>
          <w:right w:w="62" w:type="dxa"/>
        </w:tblCellMar>
        <w:tblLook w:val="0000"/>
      </w:tblPr>
      <w:tblGrid>
        <w:gridCol w:w="2976"/>
        <w:gridCol w:w="6661"/>
      </w:tblGrid>
      <w:tr w:rsidTr="0057790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E6B" w:rsidP="00F77E6B">
            <w:pPr>
              <w:pStyle w:val="BodyText"/>
            </w:pPr>
            <w:r w:rsidRPr="00F77E6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E6B">
            <w:pPr>
              <w:pStyle w:val="BodyText"/>
              <w:rPr>
                <w:lang w:val="en-NZ"/>
              </w:rPr>
            </w:pPr>
            <w:r w:rsidRPr="00F77E6B">
              <w:rPr>
                <w:rStyle w:val="SpecialBold"/>
              </w:rPr>
              <w:t>Comment</w:t>
            </w:r>
          </w:p>
        </w:tc>
      </w:tr>
      <w:tr w:rsidTr="00577909">
        <w:tblPrEx>
          <w:tblW w:w="9637" w:type="dxa"/>
          <w:tblLayout w:type="fixed"/>
          <w:tblCellMar>
            <w:left w:w="62" w:type="dxa"/>
            <w:right w:w="62" w:type="dxa"/>
          </w:tblCellMar>
          <w:tblLook w:val="0000"/>
        </w:tblPrEx>
        <w:trPr>
          <w:trHeight w:val="87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E6B">
            <w:pPr>
              <w:pStyle w:val="BodyText"/>
              <w:rPr>
                <w:lang w:val="en-NZ"/>
              </w:rPr>
            </w:pPr>
            <w:r w:rsidRPr="00F77E6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E6B" w:rsidP="00F77E6B">
            <w:pPr>
              <w:pStyle w:val="BodyText"/>
            </w:pPr>
            <w:r w:rsidRPr="00F77E6B">
              <w:t>New unit of competency</w:t>
            </w:r>
          </w:p>
        </w:tc>
      </w:tr>
    </w:tbl>
    <w:p w:rsidR="00000000" w:rsidRPr="00F77E6B" w:rsidP="00F77E6B">
      <w:pPr>
        <w:pStyle w:val="BodyText"/>
      </w:pPr>
    </w:p>
    <w:p w:rsidR="00000000" w:rsidRPr="00F77E6B" w:rsidP="00F77E6B">
      <w:pPr>
        <w:pStyle w:val="AllowPageBreak"/>
      </w:pPr>
    </w:p>
    <w:p w:rsidR="00000000" w:rsidRPr="00F77E6B" w:rsidP="00F77E6B">
      <w:pPr>
        <w:pStyle w:val="Heading1"/>
      </w:pPr>
      <w:bookmarkStart w:id="2" w:name="O_492430"/>
      <w:bookmarkEnd w:id="2"/>
      <w:r w:rsidRPr="00F77E6B">
        <w:t>Unit Descriptor</w:t>
      </w:r>
    </w:p>
    <w:tbl>
      <w:tblPr>
        <w:tblW w:w="9639" w:type="dxa"/>
        <w:tblLayout w:type="fixed"/>
        <w:tblCellMar>
          <w:left w:w="62" w:type="dxa"/>
          <w:right w:w="62" w:type="dxa"/>
        </w:tblCellMar>
        <w:tblLook w:val="0000"/>
      </w:tblPr>
      <w:tblGrid>
        <w:gridCol w:w="2977"/>
        <w:gridCol w:w="6662"/>
      </w:tblGrid>
      <w:tr w:rsidTr="00F77E6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E6B" w:rsidP="00F77E6B">
            <w:pPr>
              <w:pStyle w:val="BodyText"/>
            </w:pPr>
            <w:r w:rsidRPr="00F77E6B">
              <w:t>This unit describes the performance outcomes required to diagnose complex faults in vehicle monitoring and protection systems in order to initiate action to service, repair, replace or improve performance.</w:t>
            </w:r>
          </w:p>
          <w:p w:rsidR="00000000" w:rsidRPr="00F77E6B" w:rsidP="00F77E6B">
            <w:pPr>
              <w:pStyle w:val="BodyText"/>
            </w:pPr>
            <w:r w:rsidRPr="00F77E6B">
              <w:t>The unit involves evaluating system performance an</w:t>
            </w:r>
            <w:r w:rsidRPr="00F77E6B">
              <w:t>d identifying possible operational anomalies.</w:t>
            </w:r>
          </w:p>
          <w:p w:rsidR="00000000" w:rsidRPr="00F77E6B" w:rsidP="00F77E6B">
            <w:pPr>
              <w:pStyle w:val="BodyText"/>
            </w:pPr>
            <w:r w:rsidRPr="00F77E6B">
              <w:t>Faults may be electrical or electronic by nature, requiring the application of complex diagnostic processes to resolve.</w:t>
            </w:r>
          </w:p>
          <w:p w:rsidR="00000000" w:rsidRPr="00F77E6B" w:rsidP="00F77E6B">
            <w:pPr>
              <w:pStyle w:val="BodyText"/>
            </w:pPr>
            <w:r w:rsidRPr="00F77E6B">
              <w:t>Licensing, legislative, regulatory or certification requirements may apply to this unit in</w:t>
            </w:r>
            <w:r w:rsidRPr="00F77E6B">
              <w:t xml:space="preserve"> some jurisdictions. Users are advised to check with the relevant regulatory authority.</w:t>
            </w:r>
          </w:p>
        </w:tc>
      </w:tr>
    </w:tbl>
    <w:p w:rsidR="00000000" w:rsidRPr="00F77E6B" w:rsidP="00F77E6B">
      <w:pPr>
        <w:pStyle w:val="BodyText"/>
      </w:pPr>
    </w:p>
    <w:p w:rsidR="00000000" w:rsidRPr="00F77E6B" w:rsidP="00F77E6B">
      <w:pPr>
        <w:pStyle w:val="AllowPageBreak"/>
      </w:pPr>
    </w:p>
    <w:p w:rsidR="00000000" w:rsidRPr="00F77E6B" w:rsidP="00F77E6B">
      <w:pPr>
        <w:pStyle w:val="Heading1"/>
      </w:pPr>
      <w:bookmarkStart w:id="3" w:name="O_492431"/>
      <w:bookmarkEnd w:id="3"/>
      <w:r w:rsidRPr="00F77E6B">
        <w:t>Application of the Unit</w:t>
      </w:r>
    </w:p>
    <w:tbl>
      <w:tblPr>
        <w:tblW w:w="9639" w:type="dxa"/>
        <w:tblLayout w:type="fixed"/>
        <w:tblCellMar>
          <w:left w:w="62" w:type="dxa"/>
          <w:right w:w="62" w:type="dxa"/>
        </w:tblCellMar>
        <w:tblLook w:val="0000"/>
      </w:tblPr>
      <w:tblGrid>
        <w:gridCol w:w="2977"/>
        <w:gridCol w:w="6662"/>
      </w:tblGrid>
      <w:tr w:rsidTr="00F77E6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E6B" w:rsidP="00F77E6B">
            <w:pPr>
              <w:pStyle w:val="BodyText"/>
            </w:pPr>
            <w:r w:rsidRPr="00F77E6B">
              <w:t>Work applies to and includes system fault and failure diagnosis of vehicle monitoring and protection systems of motorcycles, light vehicles, heavy commercial vehicles, and vehicles in the mining, construction, agricultural and marine environments.</w:t>
            </w:r>
          </w:p>
          <w:p w:rsidR="00000000" w:rsidRPr="00F77E6B" w:rsidP="00F77E6B">
            <w:pPr>
              <w:pStyle w:val="BodyText"/>
            </w:pPr>
            <w:r w:rsidRPr="00F77E6B">
              <w:t>Work app</w:t>
            </w:r>
            <w:r w:rsidRPr="00F77E6B">
              <w:t>lies to an automotive technologist, master technician or subject matter specialist. It encompasses and builds on trade level competencies.</w:t>
            </w:r>
          </w:p>
        </w:tc>
      </w:tr>
    </w:tbl>
    <w:p w:rsidR="00000000" w:rsidRPr="00F77E6B" w:rsidP="00F77E6B">
      <w:pPr>
        <w:pStyle w:val="BodyText"/>
      </w:pPr>
    </w:p>
    <w:p w:rsidR="00000000" w:rsidRPr="00F77E6B" w:rsidP="00F77E6B">
      <w:pPr>
        <w:pStyle w:val="AllowPageBreak"/>
      </w:pPr>
    </w:p>
    <w:p w:rsidR="00000000" w:rsidRPr="00F77E6B" w:rsidP="00F77E6B">
      <w:pPr>
        <w:pStyle w:val="Heading1"/>
      </w:pPr>
      <w:bookmarkStart w:id="4" w:name="O_492432"/>
      <w:bookmarkEnd w:id="4"/>
      <w:r w:rsidRPr="00F77E6B">
        <w:t>Licensing/Regulatory Information</w:t>
      </w:r>
    </w:p>
    <w:p w:rsidR="00000000" w:rsidRPr="00F77E6B" w:rsidP="00F77E6B">
      <w:pPr>
        <w:pStyle w:val="BodyText"/>
      </w:pPr>
      <w:r w:rsidRPr="00F77E6B">
        <w:t>Not applicable.</w:t>
      </w:r>
    </w:p>
    <w:p w:rsidR="00000000" w:rsidRPr="00F77E6B" w:rsidP="00F77E6B">
      <w:pPr>
        <w:pStyle w:val="AllowPageBreak"/>
      </w:pPr>
    </w:p>
    <w:p w:rsidR="00000000" w:rsidRPr="00F77E6B" w:rsidP="00F77E6B">
      <w:pPr>
        <w:pStyle w:val="Heading1"/>
      </w:pPr>
      <w:bookmarkStart w:id="5" w:name="O_492433"/>
      <w:bookmarkEnd w:id="5"/>
      <w:r w:rsidRPr="00F77E6B">
        <w:t>Pre-Requisites</w:t>
      </w:r>
    </w:p>
    <w:p w:rsidR="00000000" w:rsidRPr="00F77E6B" w:rsidP="00F77E6B">
      <w:pPr>
        <w:pStyle w:val="BodyText"/>
      </w:pPr>
      <w:r w:rsidRPr="00F77E6B">
        <w:t>Not applicable.</w:t>
      </w:r>
    </w:p>
    <w:p w:rsidR="00000000" w:rsidRPr="00F77E6B" w:rsidP="00F77E6B">
      <w:pPr>
        <w:pStyle w:val="AllowPageBreak"/>
      </w:pPr>
    </w:p>
    <w:p w:rsidR="00000000" w:rsidRPr="00F77E6B" w:rsidP="00F77E6B">
      <w:pPr>
        <w:pStyle w:val="Heading1"/>
      </w:pPr>
      <w:bookmarkStart w:id="6" w:name="O_492434"/>
      <w:bookmarkEnd w:id="6"/>
      <w:r w:rsidRPr="00F77E6B">
        <w:t>Employability Skills Information</w:t>
      </w:r>
    </w:p>
    <w:tbl>
      <w:tblPr>
        <w:tblW w:w="9639" w:type="dxa"/>
        <w:tblLayout w:type="fixed"/>
        <w:tblCellMar>
          <w:left w:w="62" w:type="dxa"/>
          <w:right w:w="62" w:type="dxa"/>
        </w:tblCellMar>
        <w:tblLook w:val="0000"/>
      </w:tblPr>
      <w:tblGrid>
        <w:gridCol w:w="2977"/>
        <w:gridCol w:w="6662"/>
      </w:tblGrid>
      <w:tr w:rsidTr="00F77E6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E6B" w:rsidP="00F77E6B">
            <w:pPr>
              <w:pStyle w:val="BodyText"/>
            </w:pPr>
            <w:r w:rsidRPr="00F77E6B">
              <w:t>This unit contains employability skills.</w:t>
            </w:r>
          </w:p>
        </w:tc>
      </w:tr>
    </w:tbl>
    <w:p w:rsidR="00000000" w:rsidRPr="00F77E6B" w:rsidP="00F77E6B">
      <w:pPr>
        <w:pStyle w:val="BodyText"/>
      </w:pPr>
    </w:p>
    <w:p w:rsidR="00000000" w:rsidRPr="00F77E6B" w:rsidP="00F77E6B">
      <w:pPr>
        <w:pStyle w:val="AllowPageBreak"/>
      </w:pPr>
    </w:p>
    <w:p w:rsidR="00000000" w:rsidRPr="00F77E6B" w:rsidP="00F77E6B">
      <w:pPr>
        <w:pStyle w:val="Heading1"/>
      </w:pPr>
      <w:bookmarkStart w:id="7" w:name="O_492435"/>
      <w:bookmarkEnd w:id="7"/>
      <w:r w:rsidRPr="00F77E6B">
        <w:t>Elements and Performance Criteria Pre-Content</w:t>
      </w:r>
    </w:p>
    <w:tbl>
      <w:tblPr>
        <w:tblW w:w="9639" w:type="dxa"/>
        <w:tblLayout w:type="fixed"/>
        <w:tblCellMar>
          <w:left w:w="62" w:type="dxa"/>
          <w:right w:w="62" w:type="dxa"/>
        </w:tblCellMar>
        <w:tblLook w:val="0000"/>
      </w:tblPr>
      <w:tblGrid>
        <w:gridCol w:w="2977"/>
        <w:gridCol w:w="6662"/>
      </w:tblGrid>
      <w:tr w:rsidTr="00F77E6B">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7E6B" w:rsidP="00F77E6B">
            <w:pPr>
              <w:pStyle w:val="BodyText"/>
            </w:pPr>
            <w:r w:rsidRPr="00F77E6B">
              <w:t>Performance criteria describe the performance needed to demonstrate achievement of the element. Where bold italicised text is used, further information is detailed in the required skills and knowledge section and the range statement. Assessment of performa</w:t>
            </w:r>
            <w:r w:rsidRPr="00F77E6B">
              <w:t>nce is to be consistent with the evidence guide.</w:t>
            </w:r>
          </w:p>
        </w:tc>
      </w:tr>
    </w:tbl>
    <w:p w:rsidR="00000000" w:rsidRPr="00F77E6B" w:rsidP="00F77E6B">
      <w:pPr>
        <w:pStyle w:val="BodyText"/>
      </w:pPr>
    </w:p>
    <w:p w:rsidR="00000000" w:rsidRPr="00F77E6B" w:rsidP="00F77E6B">
      <w:pPr>
        <w:pStyle w:val="AllowPageBreak"/>
      </w:pPr>
    </w:p>
    <w:p w:rsidR="00000000" w:rsidRPr="00F77E6B" w:rsidP="00F77E6B">
      <w:pPr>
        <w:pStyle w:val="Heading1"/>
      </w:pPr>
      <w:bookmarkStart w:id="8" w:name="O_492436"/>
      <w:bookmarkEnd w:id="8"/>
      <w:r w:rsidRPr="00F77E6B">
        <w:t>Elements and Performance Criteria</w:t>
      </w:r>
    </w:p>
    <w:tbl>
      <w:tblPr>
        <w:tblW w:w="9639" w:type="dxa"/>
        <w:tblLayout w:type="fixed"/>
        <w:tblCellMar>
          <w:left w:w="62" w:type="dxa"/>
          <w:right w:w="62" w:type="dxa"/>
        </w:tblCellMar>
        <w:tblLook w:val="0000"/>
      </w:tblPr>
      <w:tblGrid>
        <w:gridCol w:w="2977"/>
        <w:gridCol w:w="6662"/>
      </w:tblGrid>
      <w:tr w:rsidTr="00577909">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E6B" w:rsidP="00F77E6B">
            <w:pPr>
              <w:pStyle w:val="BodyText"/>
            </w:pPr>
            <w:r w:rsidRPr="00F77E6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E6B">
            <w:pPr>
              <w:pStyle w:val="BodyText"/>
              <w:rPr>
                <w:lang w:val="en-NZ"/>
              </w:rPr>
            </w:pPr>
            <w:r w:rsidRPr="00F77E6B">
              <w:rPr>
                <w:rStyle w:val="SpecialBold"/>
              </w:rPr>
              <w:t>PERFORMANCE CRITERIA</w:t>
            </w:r>
          </w:p>
        </w:tc>
      </w:tr>
      <w:tr w:rsidTr="00577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E6B">
            <w:pPr>
              <w:pStyle w:val="List"/>
              <w:rPr>
                <w:lang w:val="en-NZ"/>
              </w:rPr>
            </w:pPr>
            <w:r w:rsidRPr="00F77E6B">
              <w:t>1.</w:t>
            </w:r>
            <w:r w:rsidRPr="00F77E6B">
              <w:tab/>
              <w:t>Identify and confirm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E6B" w:rsidP="00F77E6B">
            <w:pPr>
              <w:pStyle w:val="List2"/>
            </w:pPr>
            <w:r w:rsidRPr="00F77E6B">
              <w:t>1.1.</w:t>
            </w:r>
            <w:r w:rsidRPr="00F77E6B">
              <w:tab/>
              <w:t>Workplace instructions and reports are used to determine the nature and object</w:t>
            </w:r>
            <w:r w:rsidRPr="00F77E6B">
              <w:t xml:space="preserve">ive of system diagnosis requirements </w:t>
            </w:r>
          </w:p>
          <w:p w:rsidR="00000000" w:rsidRPr="00F77E6B" w:rsidP="00F77E6B">
            <w:pPr>
              <w:pStyle w:val="List2"/>
            </w:pPr>
            <w:r w:rsidRPr="00F77E6B">
              <w:t>1.2.</w:t>
            </w:r>
            <w:r w:rsidRPr="00F77E6B">
              <w:tab/>
              <w:t xml:space="preserve">Specifications for correctly functioning </w:t>
            </w:r>
            <w:r w:rsidRPr="00F77E6B">
              <w:rPr>
                <w:rStyle w:val="BoldandItalics"/>
              </w:rPr>
              <w:t xml:space="preserve">vehicle monitoring and protection systems </w:t>
            </w:r>
            <w:r w:rsidRPr="00F77E6B">
              <w:t>are accessed and interpreted</w:t>
            </w:r>
          </w:p>
          <w:p w:rsidR="00000000" w:rsidRPr="00F77E6B" w:rsidP="00F77E6B">
            <w:pPr>
              <w:pStyle w:val="List2"/>
            </w:pPr>
            <w:r w:rsidRPr="00F77E6B">
              <w:t>1.3.</w:t>
            </w:r>
            <w:r w:rsidRPr="00F77E6B">
              <w:tab/>
            </w:r>
            <w:r w:rsidRPr="00F77E6B">
              <w:rPr>
                <w:rStyle w:val="BoldandItalics"/>
              </w:rPr>
              <w:t>Workplace health and safety (WHS) requirements</w:t>
            </w:r>
            <w:r w:rsidRPr="00F77E6B">
              <w:t>, equipment and system isolation requirements and personal protection needs, are observed and applied throughout the work</w:t>
            </w:r>
          </w:p>
          <w:p w:rsidR="00000000" w:rsidRPr="00F77E6B" w:rsidP="00F77E6B">
            <w:pPr>
              <w:pStyle w:val="List2"/>
            </w:pPr>
            <w:r w:rsidRPr="00F77E6B">
              <w:t>1.4.</w:t>
            </w:r>
            <w:r w:rsidRPr="00F77E6B">
              <w:tab/>
              <w:t xml:space="preserve">Effects of systemic deficiencies, discrepancies or </w:t>
            </w:r>
            <w:r w:rsidRPr="00F77E6B">
              <w:rPr>
                <w:rStyle w:val="BoldandItalics"/>
              </w:rPr>
              <w:t xml:space="preserve">faults </w:t>
            </w:r>
            <w:r w:rsidRPr="00F77E6B">
              <w:t>in vehicle monitoring and protection systems are identified and confirm</w:t>
            </w:r>
            <w:r w:rsidRPr="00F77E6B">
              <w:t>ed from direct or indirect evidence</w:t>
            </w:r>
          </w:p>
          <w:p w:rsidR="00000000" w:rsidP="00F77E6B">
            <w:pPr>
              <w:pStyle w:val="List2"/>
              <w:rPr>
                <w:lang w:val="en-NZ"/>
              </w:rPr>
            </w:pPr>
            <w:r w:rsidRPr="00F77E6B">
              <w:t>1.5.</w:t>
            </w:r>
            <w:r w:rsidRPr="00F77E6B">
              <w:tab/>
              <w:t>Possible safety impacts of the work are considered and responded to according to regulatory and workplace procedures</w:t>
            </w:r>
          </w:p>
        </w:tc>
      </w:tr>
      <w:tr w:rsidTr="00577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E6B">
            <w:pPr>
              <w:pStyle w:val="List"/>
              <w:rPr>
                <w:lang w:val="en-NZ"/>
              </w:rPr>
            </w:pPr>
            <w:r w:rsidRPr="00F77E6B">
              <w:t>2.</w:t>
            </w:r>
            <w:r w:rsidRPr="00F77E6B">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E6B" w:rsidP="00F77E6B">
            <w:pPr>
              <w:pStyle w:val="List2"/>
            </w:pPr>
            <w:r w:rsidRPr="00F77E6B">
              <w:t>2.1.</w:t>
            </w:r>
            <w:r w:rsidRPr="00F77E6B">
              <w:tab/>
              <w:t>Criteria for diagnosis are developed and adopted to meet the</w:t>
            </w:r>
            <w:r w:rsidRPr="00F77E6B">
              <w:t xml:space="preserve"> objective of the work</w:t>
            </w:r>
          </w:p>
          <w:p w:rsidR="00000000" w:rsidRPr="00F77E6B" w:rsidP="00F77E6B">
            <w:pPr>
              <w:pStyle w:val="List2"/>
            </w:pPr>
            <w:r w:rsidRPr="00F77E6B">
              <w:t>2.2.</w:t>
            </w:r>
            <w:r w:rsidRPr="00F77E6B">
              <w:tab/>
              <w:t>System performance achievements or discrepancies are identified from scrutiny of technical support information and available on-board diagnostic systems</w:t>
            </w:r>
          </w:p>
          <w:p w:rsidR="00000000" w:rsidRPr="00F77E6B" w:rsidP="00F77E6B">
            <w:pPr>
              <w:pStyle w:val="List2"/>
            </w:pPr>
            <w:r w:rsidRPr="00F77E6B">
              <w:t>2.3.</w:t>
            </w:r>
            <w:r w:rsidRPr="00F77E6B">
              <w:tab/>
              <w:t>Diagnostic methods, including complexity of diagnostic process, sequen</w:t>
            </w:r>
            <w:r w:rsidRPr="00F77E6B">
              <w:t xml:space="preserve">ce, </w:t>
            </w:r>
            <w:r w:rsidRPr="00F77E6B">
              <w:rPr>
                <w:rStyle w:val="BoldandItalics"/>
              </w:rPr>
              <w:t xml:space="preserve">tests </w:t>
            </w:r>
            <w:r w:rsidRPr="00F77E6B">
              <w:t>and testing process are identified and selected from the range of available options</w:t>
            </w:r>
          </w:p>
          <w:p w:rsidR="00000000" w:rsidRPr="00F77E6B" w:rsidP="00F77E6B">
            <w:pPr>
              <w:pStyle w:val="List2"/>
            </w:pPr>
            <w:r w:rsidRPr="00F77E6B">
              <w:t>2.4.</w:t>
            </w:r>
            <w:r w:rsidRPr="00F77E6B">
              <w:rPr>
                <w:rStyle w:val="BoldandItalics"/>
              </w:rPr>
              <w:tab/>
              <w:t>Testing equipment</w:t>
            </w:r>
            <w:r w:rsidRPr="00F77E6B">
              <w:t xml:space="preserve"> is obtained and prepared for application according to manufacturer, component supplier and workplace requirements</w:t>
            </w:r>
          </w:p>
          <w:p w:rsidR="00000000" w:rsidP="00F77E6B">
            <w:pPr>
              <w:pStyle w:val="List2"/>
              <w:rPr>
                <w:lang w:val="en-NZ"/>
              </w:rPr>
            </w:pPr>
            <w:r w:rsidRPr="00F77E6B">
              <w:t>2.5.</w:t>
            </w:r>
            <w:r w:rsidRPr="00F77E6B">
              <w:tab/>
              <w:t xml:space="preserve">Tools and materials </w:t>
            </w:r>
            <w:r w:rsidRPr="00F77E6B">
              <w:t>required to support the diagnostic process are identified, selected and prepared for use</w:t>
            </w:r>
          </w:p>
        </w:tc>
      </w:tr>
      <w:tr w:rsidTr="0057790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E6B">
            <w:pPr>
              <w:pStyle w:val="List"/>
              <w:rPr>
                <w:lang w:val="en-NZ"/>
              </w:rPr>
            </w:pPr>
            <w:r w:rsidRPr="00F77E6B">
              <w:t>3.</w:t>
            </w:r>
            <w:r w:rsidRPr="00F77E6B">
              <w:tab/>
              <w:t>Apply complex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E6B" w:rsidP="00F77E6B">
            <w:pPr>
              <w:pStyle w:val="List2"/>
            </w:pPr>
            <w:r w:rsidRPr="00F77E6B">
              <w:t>3.1.</w:t>
            </w:r>
            <w:r w:rsidRPr="00F77E6B">
              <w:tab/>
              <w:t xml:space="preserve">Selected </w:t>
            </w:r>
            <w:r w:rsidRPr="00F77E6B">
              <w:rPr>
                <w:rStyle w:val="BoldandItalics"/>
              </w:rPr>
              <w:t xml:space="preserve">diagnostic processes </w:t>
            </w:r>
            <w:r w:rsidRPr="00F77E6B">
              <w:t>are followed according to specifications and workplace procedures</w:t>
            </w:r>
          </w:p>
          <w:p w:rsidR="00000000" w:rsidRPr="00F77E6B" w:rsidP="00F77E6B">
            <w:pPr>
              <w:pStyle w:val="List2"/>
            </w:pPr>
            <w:r w:rsidRPr="00F77E6B">
              <w:t>3.2.</w:t>
            </w:r>
            <w:r w:rsidRPr="00F77E6B">
              <w:tab/>
              <w:t>Testing is carried out a</w:t>
            </w:r>
            <w:r w:rsidRPr="00F77E6B">
              <w:t>ccording to workplace procedures and manufacturer and component supplier specifications</w:t>
            </w:r>
          </w:p>
          <w:p w:rsidR="00000000" w:rsidRPr="00F77E6B" w:rsidP="00F77E6B">
            <w:pPr>
              <w:pStyle w:val="List2"/>
            </w:pPr>
            <w:r w:rsidRPr="00F77E6B">
              <w:t>3.3.</w:t>
            </w:r>
            <w:r w:rsidRPr="00F77E6B">
              <w:tab/>
              <w:t>Findings are verified, if necessary, by using reliable alternate or optional processes</w:t>
            </w:r>
          </w:p>
          <w:p w:rsidR="00000000" w:rsidRPr="00F77E6B" w:rsidP="00F77E6B">
            <w:pPr>
              <w:pStyle w:val="List2"/>
            </w:pPr>
            <w:r w:rsidRPr="00F77E6B">
              <w:t>3.4.</w:t>
            </w:r>
            <w:r w:rsidRPr="00F77E6B">
              <w:tab/>
              <w:t>Conclusions are drawn from findings and documented according to workpla</w:t>
            </w:r>
            <w:r w:rsidRPr="00F77E6B">
              <w:t>ce requirements</w:t>
            </w:r>
          </w:p>
          <w:p w:rsidR="00000000" w:rsidRPr="00F77E6B" w:rsidP="00F77E6B">
            <w:pPr>
              <w:pStyle w:val="List2"/>
            </w:pPr>
            <w:r w:rsidRPr="00F77E6B">
              <w:t>3.5.</w:t>
            </w:r>
            <w:r w:rsidRPr="00F77E6B">
              <w:tab/>
              <w:t>Information and detail related to the evaluation of diagnosis is provided to the appropriate person or customer to confirm further action to be taken</w:t>
            </w:r>
          </w:p>
        </w:tc>
      </w:tr>
    </w:tbl>
    <w:p w:rsidR="00000000" w:rsidRPr="00F77E6B" w:rsidP="00F77E6B">
      <w:pPr>
        <w:pStyle w:val="BodyText"/>
      </w:pPr>
    </w:p>
    <w:p w:rsidR="00000000" w:rsidRPr="00F77E6B" w:rsidP="00F77E6B">
      <w:pPr>
        <w:pStyle w:val="AllowPageBreak"/>
      </w:pPr>
    </w:p>
    <w:p w:rsidR="00000000" w:rsidRPr="00F77E6B" w:rsidP="00F77E6B">
      <w:pPr>
        <w:pStyle w:val="Heading1"/>
      </w:pPr>
      <w:bookmarkStart w:id="9" w:name="O_492437"/>
      <w:bookmarkEnd w:id="9"/>
      <w:r w:rsidRPr="00F77E6B">
        <w:t>Required Skills and Knowledge</w:t>
      </w:r>
    </w:p>
    <w:tbl>
      <w:tblPr>
        <w:tblW w:w="9639" w:type="dxa"/>
        <w:tblLayout w:type="fixed"/>
        <w:tblCellMar>
          <w:left w:w="62" w:type="dxa"/>
          <w:right w:w="62" w:type="dxa"/>
        </w:tblCellMar>
        <w:tblLook w:val="0000"/>
      </w:tblPr>
      <w:tblGrid>
        <w:gridCol w:w="9639"/>
      </w:tblGrid>
      <w:tr w:rsidTr="00F77E6B">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77E6B">
            <w:pPr>
              <w:pStyle w:val="BodyText"/>
              <w:rPr>
                <w:lang w:val="en-NZ"/>
              </w:rPr>
            </w:pPr>
            <w:r w:rsidRPr="00F77E6B">
              <w:rPr>
                <w:rStyle w:val="SpecialBold"/>
              </w:rPr>
              <w:t>REQUIRED SKILLS AND KNOWLEDGE</w:t>
            </w:r>
          </w:p>
        </w:tc>
      </w:tr>
      <w:tr w:rsidTr="00F77E6B">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t>This section describes the skills and knowledge required for this unit.</w:t>
            </w:r>
          </w:p>
        </w:tc>
      </w:tr>
      <w:tr w:rsidTr="00F77E6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rPr>
                <w:rStyle w:val="SpecialBold"/>
              </w:rPr>
              <w:t>Required skills</w:t>
            </w:r>
          </w:p>
        </w:tc>
      </w:tr>
      <w:tr w:rsidTr="00F77E6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E6B" w:rsidP="00F77E6B">
            <w:pPr>
              <w:pStyle w:val="ListBullet"/>
            </w:pPr>
            <w:r w:rsidRPr="00F77E6B">
              <w:t>communication skills to communicate ideas and information to enable confirmation of work requirements and specifications, coordination</w:t>
            </w:r>
            <w:r w:rsidRPr="00F77E6B">
              <w:t xml:space="preserve"> of work with site supervisor, other workers and customers, reporting of work outcomes and completion of regulatory, commercial and vehicle information systems inputs</w:t>
            </w:r>
          </w:p>
          <w:p w:rsidR="00000000" w:rsidRPr="00F77E6B" w:rsidP="00F77E6B">
            <w:pPr>
              <w:pStyle w:val="ListBullet"/>
            </w:pPr>
            <w:r w:rsidRPr="00F77E6B">
              <w:t>numeracy skills to use mathematical ideas and techniques to complete measurements, calcul</w:t>
            </w:r>
            <w:r w:rsidRPr="00F77E6B">
              <w:t>ate requirements, and present results of diagnosis</w:t>
            </w:r>
          </w:p>
          <w:p w:rsidR="00000000" w:rsidRPr="00F77E6B" w:rsidP="00F77E6B">
            <w:pPr>
              <w:pStyle w:val="ListBullet"/>
            </w:pPr>
            <w:r w:rsidRPr="00F77E6B">
              <w:t>planning and organising skills to conclude complex diagnostic processes which anticipate and allow for risks, cater for both direct and indirect evidence and avoid or minimise reworking and avoid wastage</w:t>
            </w:r>
          </w:p>
          <w:p w:rsidR="00000000" w:rsidRPr="00F77E6B" w:rsidP="00F77E6B">
            <w:pPr>
              <w:pStyle w:val="ListBullet"/>
            </w:pPr>
            <w:r w:rsidRPr="00F77E6B">
              <w:t>p</w:t>
            </w:r>
            <w:r w:rsidRPr="00F77E6B">
              <w:t>roblem-solving skills to use available information to contribute to decision making strategies for solving complex problems as they relate to vehicle monitoring and protection systems</w:t>
            </w:r>
          </w:p>
          <w:p w:rsidR="00000000" w:rsidRPr="00F77E6B" w:rsidP="00F77E6B">
            <w:pPr>
              <w:pStyle w:val="ListBullet"/>
            </w:pPr>
            <w:r w:rsidRPr="00F77E6B">
              <w:t>self-management skills to plan and organise activities, including the pl</w:t>
            </w:r>
            <w:r w:rsidRPr="00F77E6B">
              <w:t>anning of analytical processes, preparation of the worksite and the obtaining of testing equipment and materials to avoid backtracking, workflow interruptions or wastage</w:t>
            </w:r>
          </w:p>
          <w:p w:rsidR="00000000" w:rsidRPr="00F77E6B" w:rsidP="00F77E6B">
            <w:pPr>
              <w:pStyle w:val="ListBullet"/>
            </w:pPr>
            <w:r w:rsidRPr="00F77E6B">
              <w:t>technical skills to use workplace tools relating to the complex diagnosis of vehicle m</w:t>
            </w:r>
            <w:r w:rsidRPr="00F77E6B">
              <w:t>onitoring and protection systems, including the use of:</w:t>
            </w:r>
          </w:p>
          <w:p w:rsidR="00000000" w:rsidRPr="00F77E6B" w:rsidP="00F77E6B">
            <w:pPr>
              <w:pStyle w:val="ListBullet2"/>
            </w:pPr>
            <w:r w:rsidRPr="00F77E6B">
              <w:t>specialised tools and equipment</w:t>
            </w:r>
          </w:p>
          <w:p w:rsidR="00000000" w:rsidRPr="00F77E6B" w:rsidP="00F77E6B">
            <w:pPr>
              <w:pStyle w:val="ListBullet2"/>
            </w:pPr>
            <w:r w:rsidRPr="00F77E6B">
              <w:t>measuring equipment</w:t>
            </w:r>
          </w:p>
          <w:p w:rsidR="00000000" w:rsidP="00F77E6B">
            <w:pPr>
              <w:pStyle w:val="ListBullet"/>
              <w:rPr>
                <w:lang w:val="en-NZ"/>
              </w:rPr>
            </w:pPr>
            <w:r w:rsidRPr="00F77E6B">
              <w:t>technology skills to use workplace technology related to systems diagnosis, information research and management systems.</w:t>
            </w:r>
          </w:p>
        </w:tc>
      </w:tr>
      <w:tr w:rsidTr="00F77E6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rPr>
                <w:rStyle w:val="SpecialBold"/>
              </w:rPr>
              <w:t>Required knowledge</w:t>
            </w:r>
          </w:p>
        </w:tc>
      </w:tr>
      <w:tr w:rsidTr="00F77E6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E6B" w:rsidP="00F77E6B">
            <w:pPr>
              <w:pStyle w:val="ListBullet"/>
            </w:pPr>
            <w:r w:rsidRPr="00F77E6B">
              <w:t>concepts and principles of mechanical, hydraulic, electronic and pneumatic systems related to vehicle monitoring and protection systems</w:t>
            </w:r>
          </w:p>
          <w:p w:rsidR="00000000" w:rsidRPr="00F77E6B" w:rsidP="00F77E6B">
            <w:pPr>
              <w:pStyle w:val="ListBullet"/>
            </w:pPr>
            <w:r w:rsidRPr="00F77E6B">
              <w:t>concepts, types, functions, operations and limitations of vehicle monitoring and protection systems</w:t>
            </w:r>
          </w:p>
          <w:p w:rsidR="00000000" w:rsidRPr="00F77E6B" w:rsidP="00F77E6B">
            <w:pPr>
              <w:pStyle w:val="ListBullet"/>
            </w:pPr>
            <w:r w:rsidRPr="00F77E6B">
              <w:t>diagnostic theory, i</w:t>
            </w:r>
            <w:r w:rsidRPr="00F77E6B">
              <w:t>ncluding concept, design and planning</w:t>
            </w:r>
          </w:p>
          <w:p w:rsidR="00000000" w:rsidRPr="00F77E6B" w:rsidP="00F77E6B">
            <w:pPr>
              <w:pStyle w:val="ListBullet"/>
            </w:pPr>
            <w:r w:rsidRPr="00F77E6B">
              <w:t>types, functions, operations and limitations of diagnostic testing equipment related to vehicle monitoring and protection systems</w:t>
            </w:r>
          </w:p>
          <w:p w:rsidR="00000000" w:rsidRPr="00F77E6B" w:rsidP="00F77E6B">
            <w:pPr>
              <w:pStyle w:val="ListBullet"/>
            </w:pPr>
            <w:r w:rsidRPr="00F77E6B">
              <w:t>testing procedures for vehicle monitoring and protection systems, including procedures for accessing and interpreting scan tool system data</w:t>
            </w:r>
          </w:p>
          <w:p w:rsidR="00000000" w:rsidRPr="00F77E6B" w:rsidP="00F77E6B">
            <w:pPr>
              <w:pStyle w:val="ListBullet"/>
            </w:pPr>
            <w:r w:rsidRPr="00F77E6B">
              <w:t>methods and processes for documenting and reporting diagnostic findings and recommendations</w:t>
            </w:r>
          </w:p>
        </w:tc>
      </w:tr>
    </w:tbl>
    <w:p w:rsidR="00000000" w:rsidRPr="00F77E6B" w:rsidP="00F77E6B">
      <w:pPr>
        <w:pStyle w:val="BodyText"/>
      </w:pPr>
    </w:p>
    <w:p w:rsidR="00000000" w:rsidRPr="00F77E6B" w:rsidP="00F77E6B">
      <w:pPr>
        <w:pStyle w:val="AllowPageBreak"/>
      </w:pPr>
    </w:p>
    <w:p w:rsidR="00000000" w:rsidRPr="00F77E6B" w:rsidP="00F77E6B">
      <w:pPr>
        <w:pStyle w:val="Heading1"/>
      </w:pPr>
      <w:bookmarkStart w:id="10" w:name="O_492438"/>
      <w:bookmarkEnd w:id="10"/>
      <w:r w:rsidRPr="00F77E6B">
        <w:t>Evide</w:t>
      </w:r>
      <w:r w:rsidRPr="00F77E6B">
        <w:t>nce Guide</w:t>
      </w:r>
    </w:p>
    <w:tbl>
      <w:tblPr>
        <w:tblW w:w="9639" w:type="dxa"/>
        <w:tblLayout w:type="fixed"/>
        <w:tblCellMar>
          <w:left w:w="62" w:type="dxa"/>
          <w:right w:w="62" w:type="dxa"/>
        </w:tblCellMar>
        <w:tblLook w:val="0000"/>
      </w:tblPr>
      <w:tblGrid>
        <w:gridCol w:w="2977"/>
        <w:gridCol w:w="6662"/>
      </w:tblGrid>
      <w:tr w:rsidTr="00F77E6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7E6B">
            <w:pPr>
              <w:pStyle w:val="BodyText"/>
              <w:rPr>
                <w:lang w:val="en-NZ"/>
              </w:rPr>
            </w:pPr>
            <w:r w:rsidRPr="00F77E6B">
              <w:rPr>
                <w:rStyle w:val="SpecialBold"/>
              </w:rPr>
              <w:t>EVIDENCE GUIDE</w:t>
            </w:r>
          </w:p>
        </w:tc>
      </w:tr>
      <w:tr w:rsidTr="00F77E6B">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t>The evidence guide provides advice on assessment and must be read in conjunction with the performance criteria, required skills and knowledge, range statement and the Assessment Guidelines for the Training Package.</w:t>
            </w:r>
          </w:p>
        </w:tc>
      </w:tr>
      <w:tr w:rsidTr="00F77E6B">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rPr>
                <w:rStyle w:val="SpecialBold"/>
              </w:rPr>
              <w:t xml:space="preserve">Overview </w:t>
            </w:r>
            <w:r w:rsidRPr="00F77E6B">
              <w:rPr>
                <w:rStyle w:val="SpecialBold"/>
              </w:rPr>
              <w:t>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p>
        </w:tc>
      </w:tr>
      <w:tr w:rsidTr="00F77E6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E6B" w:rsidP="00F77E6B">
            <w:pPr>
              <w:pStyle w:val="BodyText"/>
            </w:pPr>
            <w:r w:rsidRPr="00F77E6B">
              <w:t>The evidence required to demonstrate competency in this unit must be relevant to workplace operations and satisfy all of the requirements of the pe</w:t>
            </w:r>
            <w:r w:rsidRPr="00F77E6B">
              <w:t>rformance criteria and required skills and knowledge.</w:t>
            </w:r>
          </w:p>
          <w:p w:rsidR="00000000" w:rsidRPr="00F77E6B" w:rsidP="00F77E6B">
            <w:pPr>
              <w:pStyle w:val="BodyText"/>
            </w:pPr>
            <w:r w:rsidRPr="00F77E6B">
              <w:t>A person who demonstrates competency in this unit must be able to:</w:t>
            </w:r>
          </w:p>
          <w:p w:rsidR="00000000" w:rsidRPr="00F77E6B" w:rsidP="00F77E6B">
            <w:pPr>
              <w:pStyle w:val="ListBullet"/>
            </w:pPr>
            <w:r w:rsidRPr="00F77E6B">
              <w:t>interpret workplace instructions and locate and apply information</w:t>
            </w:r>
          </w:p>
          <w:p w:rsidR="00000000" w:rsidRPr="00F77E6B" w:rsidP="00F77E6B">
            <w:pPr>
              <w:pStyle w:val="ListBullet"/>
            </w:pPr>
            <w:r w:rsidRPr="00F77E6B">
              <w:t>apply safe</w:t>
            </w:r>
            <w:r w:rsidRPr="00F77E6B">
              <w:t>ty requirements, including the use of personal protective equipment</w:t>
            </w:r>
          </w:p>
          <w:p w:rsidR="00000000" w:rsidRPr="00F77E6B" w:rsidP="00F77E6B">
            <w:pPr>
              <w:pStyle w:val="ListBullet"/>
            </w:pPr>
            <w:r w:rsidRPr="00F77E6B">
              <w:t>identify and select appropriate diagnosis processes to be performed</w:t>
            </w:r>
          </w:p>
          <w:p w:rsidR="00000000" w:rsidRPr="00F77E6B" w:rsidP="00F77E6B">
            <w:pPr>
              <w:pStyle w:val="ListBullet"/>
            </w:pPr>
            <w:r w:rsidRPr="00F77E6B">
              <w:t>complete diagnosis of complex faults on a minimum of three different vehicle monitoring and protection systems with real</w:t>
            </w:r>
            <w:r w:rsidRPr="00F77E6B">
              <w:t xml:space="preserve"> or simulated faults</w:t>
            </w:r>
          </w:p>
          <w:p w:rsidR="00000000" w:rsidP="00F77E6B">
            <w:pPr>
              <w:pStyle w:val="ListBullet"/>
              <w:rPr>
                <w:lang w:val="en-NZ"/>
              </w:rPr>
            </w:pPr>
            <w:r w:rsidRPr="00F77E6B">
              <w:t>document and report outcomes and required actions of diagnosis of complex faults in vehicle monitoring and protection systems.</w:t>
            </w:r>
          </w:p>
        </w:tc>
      </w:tr>
      <w:tr w:rsidTr="00F77E6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E6B" w:rsidP="00F77E6B">
            <w:pPr>
              <w:pStyle w:val="BodyText"/>
            </w:pPr>
            <w:r w:rsidRPr="00F77E6B">
              <w:t>Competency is to be assessed in the workplace or a simula</w:t>
            </w:r>
            <w:r w:rsidRPr="00F77E6B">
              <w:t>ted workplace environment that accurately reflects performance in a real workplace setting.</w:t>
            </w:r>
          </w:p>
          <w:p w:rsidR="00000000" w:rsidRPr="00F77E6B" w:rsidP="00F77E6B">
            <w:pPr>
              <w:pStyle w:val="BodyText"/>
            </w:pPr>
            <w:r w:rsidRPr="00F77E6B">
              <w:t>Assessment is to occur:</w:t>
            </w:r>
          </w:p>
          <w:p w:rsidR="00000000" w:rsidRPr="00F77E6B" w:rsidP="00F77E6B">
            <w:pPr>
              <w:pStyle w:val="ListBullet"/>
            </w:pPr>
            <w:r w:rsidRPr="00F77E6B">
              <w:t>using standard workplace practices and procedures</w:t>
            </w:r>
          </w:p>
          <w:p w:rsidR="00000000" w:rsidRPr="00F77E6B" w:rsidP="00F77E6B">
            <w:pPr>
              <w:pStyle w:val="ListBullet"/>
            </w:pPr>
            <w:r w:rsidRPr="00F77E6B">
              <w:t>following safety requirements</w:t>
            </w:r>
          </w:p>
          <w:p w:rsidR="00000000" w:rsidRPr="00F77E6B" w:rsidP="00F77E6B">
            <w:pPr>
              <w:pStyle w:val="ListBullet"/>
            </w:pPr>
            <w:r w:rsidRPr="00F77E6B">
              <w:t>applying environmental constraints.</w:t>
            </w:r>
          </w:p>
          <w:p w:rsidR="00000000" w:rsidRPr="00F77E6B" w:rsidP="00F77E6B">
            <w:pPr>
              <w:pStyle w:val="BodyText"/>
            </w:pPr>
            <w:r w:rsidRPr="00F77E6B">
              <w:t>Assessment is to comply</w:t>
            </w:r>
            <w:r w:rsidRPr="00F77E6B">
              <w:t xml:space="preserve"> with relevant:</w:t>
            </w:r>
          </w:p>
          <w:p w:rsidR="00000000" w:rsidRPr="00F77E6B" w:rsidP="00F77E6B">
            <w:pPr>
              <w:pStyle w:val="ListBullet"/>
            </w:pPr>
            <w:r w:rsidRPr="00F77E6B">
              <w:t>regulatory requirements</w:t>
            </w:r>
          </w:p>
          <w:p w:rsidR="00000000" w:rsidRPr="00F77E6B" w:rsidP="00F77E6B">
            <w:pPr>
              <w:pStyle w:val="ListBullet"/>
            </w:pPr>
            <w:r w:rsidRPr="00F77E6B">
              <w:t>Australian standards</w:t>
            </w:r>
          </w:p>
          <w:p w:rsidR="00000000" w:rsidRPr="00F77E6B" w:rsidP="00F77E6B">
            <w:pPr>
              <w:pStyle w:val="ListBullet"/>
            </w:pPr>
            <w:r w:rsidRPr="00F77E6B">
              <w:t>industry codes of practice.</w:t>
            </w:r>
          </w:p>
          <w:p w:rsidR="00000000" w:rsidRPr="00F77E6B" w:rsidP="00F77E6B">
            <w:pPr>
              <w:pStyle w:val="BodyText"/>
            </w:pPr>
            <w:r w:rsidRPr="00F77E6B">
              <w:t xml:space="preserve">The following resources must be made available for the assessment of this unit: </w:t>
            </w:r>
          </w:p>
          <w:p w:rsidR="00000000" w:rsidRPr="00F77E6B" w:rsidP="00F77E6B">
            <w:pPr>
              <w:pStyle w:val="ListBullet"/>
            </w:pPr>
            <w:r w:rsidRPr="00F77E6B">
              <w:t>workplace location or simulated workplace</w:t>
            </w:r>
          </w:p>
          <w:p w:rsidR="00000000" w:rsidRPr="00F77E6B" w:rsidP="00F77E6B">
            <w:pPr>
              <w:pStyle w:val="ListBullet"/>
            </w:pPr>
            <w:r w:rsidRPr="00F77E6B">
              <w:t xml:space="preserve">vehicles with real or simulated monitoring and protection </w:t>
            </w:r>
            <w:r w:rsidRPr="00F77E6B">
              <w:t>system faults</w:t>
            </w:r>
          </w:p>
          <w:p w:rsidR="00000000" w:rsidRPr="00F77E6B" w:rsidP="00F77E6B">
            <w:pPr>
              <w:pStyle w:val="ListBullet"/>
            </w:pPr>
            <w:r w:rsidRPr="00F77E6B">
              <w:t>tools and equipment appropriate for the diagnosis of complex faults in vehicle monitoring and protection systems</w:t>
            </w:r>
          </w:p>
          <w:p w:rsidR="00000000" w:rsidP="00F77E6B">
            <w:pPr>
              <w:pStyle w:val="ListBullet"/>
              <w:rPr>
                <w:lang w:val="en-NZ"/>
              </w:rPr>
            </w:pPr>
            <w:r w:rsidRPr="00F77E6B">
              <w:t>technical reference information and workplace instructions..</w:t>
            </w:r>
          </w:p>
        </w:tc>
      </w:tr>
      <w:tr w:rsidTr="00F77E6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rPr>
                <w:rStyle w:val="SpecialBold"/>
              </w:rPr>
              <w:t>Method of</w:t>
            </w:r>
            <w:r w:rsidRPr="00F77E6B">
              <w:rPr>
                <w:rStyle w:val="SpecialBold"/>
              </w:rPr>
              <w:t xml:space="preserve">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E6B" w:rsidP="00F77E6B">
            <w:pPr>
              <w:pStyle w:val="BodyText"/>
            </w:pPr>
            <w:r w:rsidRPr="00F77E6B">
              <w:t>Assessment must satisfy the endorsed Assessment Guidelines of this Training Package.</w:t>
            </w:r>
          </w:p>
          <w:p w:rsidR="00000000" w:rsidRPr="00F77E6B" w:rsidP="00F77E6B">
            <w:pPr>
              <w:pStyle w:val="BodyText"/>
            </w:pPr>
            <w:r w:rsidRPr="00F77E6B">
              <w:t>Assessment methods must confirm consistency and accuracy of performance (over time and in a range of workplace relevant contexts) together with the application</w:t>
            </w:r>
            <w:r w:rsidRPr="00F77E6B">
              <w:t xml:space="preserve"> of required skills and knowledge.</w:t>
            </w:r>
          </w:p>
          <w:p w:rsidR="00000000" w:rsidRPr="00F77E6B" w:rsidP="00F77E6B">
            <w:pPr>
              <w:pStyle w:val="BodyText"/>
            </w:pPr>
            <w:r w:rsidRPr="00F77E6B">
              <w:t>Assessment methods must be by direct observation of tasks and include questioning on required skills and knowledge to ensure correct interpretation and application.</w:t>
            </w:r>
          </w:p>
          <w:p w:rsidR="00000000" w:rsidRPr="00F77E6B" w:rsidP="00F77E6B">
            <w:pPr>
              <w:pStyle w:val="BodyText"/>
            </w:pPr>
            <w:r w:rsidRPr="00F77E6B">
              <w:t>Competence in this unit may be assessed in conjunction w</w:t>
            </w:r>
            <w:r w:rsidRPr="00F77E6B">
              <w:t>ith other units which together form part of a holistic work role.</w:t>
            </w:r>
          </w:p>
          <w:p w:rsidR="00000000" w:rsidRPr="00F77E6B" w:rsidP="00F77E6B">
            <w:pPr>
              <w:pStyle w:val="BodyText"/>
            </w:pPr>
            <w:r w:rsidRPr="00F77E6B">
              <w:t>Where applicable, reasonable adjustment must be made to work environments and training situations to accommodate the needs of diverse clients.</w:t>
            </w:r>
          </w:p>
          <w:p w:rsidR="00000000" w:rsidRPr="00F77E6B" w:rsidP="00F77E6B">
            <w:pPr>
              <w:pStyle w:val="BodyText"/>
            </w:pPr>
            <w:r w:rsidRPr="00F77E6B">
              <w:t>Assessment processes and techniques must be cul</w:t>
            </w:r>
            <w:r w:rsidRPr="00F77E6B">
              <w:t>turally sensitive and appropriate to the language, literacy and numeracy capacity of the candidate and the work being performed.</w:t>
            </w:r>
          </w:p>
        </w:tc>
      </w:tr>
    </w:tbl>
    <w:p w:rsidR="00000000" w:rsidRPr="00F77E6B" w:rsidP="00F77E6B">
      <w:pPr>
        <w:pStyle w:val="BodyText"/>
      </w:pPr>
    </w:p>
    <w:p w:rsidR="00000000" w:rsidRPr="00F77E6B" w:rsidP="00F77E6B">
      <w:pPr>
        <w:pStyle w:val="AllowPageBreak"/>
      </w:pPr>
    </w:p>
    <w:p w:rsidR="00000000" w:rsidRPr="00F77E6B" w:rsidP="00F77E6B">
      <w:pPr>
        <w:pStyle w:val="Heading1"/>
      </w:pPr>
      <w:bookmarkStart w:id="11" w:name="O_492439"/>
      <w:bookmarkEnd w:id="11"/>
      <w:r w:rsidRPr="00F77E6B">
        <w:t>Range Statement</w:t>
      </w:r>
    </w:p>
    <w:tbl>
      <w:tblPr>
        <w:tblW w:w="9639" w:type="dxa"/>
        <w:tblLayout w:type="fixed"/>
        <w:tblCellMar>
          <w:left w:w="62" w:type="dxa"/>
          <w:right w:w="62" w:type="dxa"/>
        </w:tblCellMar>
        <w:tblLook w:val="0000"/>
      </w:tblPr>
      <w:tblGrid>
        <w:gridCol w:w="2977"/>
        <w:gridCol w:w="6662"/>
      </w:tblGrid>
      <w:tr w:rsidTr="00F77E6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7E6B">
            <w:pPr>
              <w:pStyle w:val="BodyText"/>
              <w:rPr>
                <w:lang w:val="en-NZ"/>
              </w:rPr>
            </w:pPr>
            <w:r w:rsidRPr="00F77E6B">
              <w:rPr>
                <w:rStyle w:val="SpecialBold"/>
              </w:rPr>
              <w:t>RANGE STATEMENT</w:t>
            </w:r>
          </w:p>
        </w:tc>
      </w:tr>
      <w:tr w:rsidTr="00F77E6B">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t>The range statement relates to the unit of competency as a whole. It allows for different work environments and situations that may affect performance. Bold italicised wording, if used in the performance criteria, is detailed below. Essential operating con</w:t>
            </w:r>
            <w:r w:rsidRPr="00F77E6B">
              <w:t>ditions that may be present with training and assessment (depending on the work situation, needs of the candidate, accessibility of the item, and local industry and regional contexts) may also be included.</w:t>
            </w:r>
          </w:p>
        </w:tc>
      </w:tr>
      <w:tr w:rsidTr="00F77E6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rPr>
                <w:rStyle w:val="BoldandItalics"/>
              </w:rPr>
              <w:t>Vehicle monitoring and protection systems</w:t>
            </w:r>
            <w:r w:rsidRPr="00F77E6B">
              <w:t xml:space="preserve"> may in</w:t>
            </w:r>
            <w:r w:rsidRPr="00F77E6B">
              <w:t>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E6B" w:rsidP="00F77E6B">
            <w:pPr>
              <w:pStyle w:val="ListBullet"/>
            </w:pPr>
            <w:r w:rsidRPr="00F77E6B">
              <w:t>display types, including:</w:t>
            </w:r>
          </w:p>
          <w:p w:rsidR="00000000" w:rsidRPr="00F77E6B" w:rsidP="00F77E6B">
            <w:pPr>
              <w:pStyle w:val="ListBullet2"/>
            </w:pPr>
            <w:r w:rsidRPr="00F77E6B">
              <w:t>liquid crystal display (LCD)</w:t>
            </w:r>
          </w:p>
          <w:p w:rsidR="00000000" w:rsidRPr="00F77E6B" w:rsidP="00F77E6B">
            <w:pPr>
              <w:pStyle w:val="ListBullet2"/>
            </w:pPr>
            <w:r w:rsidRPr="00F77E6B">
              <w:t>vacuum fluorescent display (VFD)</w:t>
            </w:r>
          </w:p>
          <w:p w:rsidR="00000000" w:rsidRPr="00F77E6B" w:rsidP="00F77E6B">
            <w:pPr>
              <w:pStyle w:val="ListBullet2"/>
            </w:pPr>
            <w:r w:rsidRPr="00F77E6B">
              <w:t>cathode ray tube (CRT)</w:t>
            </w:r>
          </w:p>
          <w:p w:rsidR="00000000" w:rsidRPr="00F77E6B" w:rsidP="00F77E6B">
            <w:pPr>
              <w:pStyle w:val="ListBullet2"/>
            </w:pPr>
            <w:r w:rsidRPr="00F77E6B">
              <w:t>heads-up display (HUD)</w:t>
            </w:r>
          </w:p>
          <w:p w:rsidR="00000000" w:rsidRPr="00F77E6B" w:rsidP="00F77E6B">
            <w:pPr>
              <w:pStyle w:val="ListBullet"/>
            </w:pPr>
            <w:r w:rsidRPr="00F77E6B">
              <w:t>reconfigurable systems</w:t>
            </w:r>
          </w:p>
          <w:p w:rsidR="00000000" w:rsidRPr="00F77E6B" w:rsidP="00F77E6B">
            <w:pPr>
              <w:pStyle w:val="ListBullet"/>
            </w:pPr>
            <w:r w:rsidRPr="00F77E6B">
              <w:t>electronic analogue display</w:t>
            </w:r>
          </w:p>
          <w:p w:rsidR="00000000" w:rsidRPr="00F77E6B" w:rsidP="00F77E6B">
            <w:pPr>
              <w:pStyle w:val="ListBullet"/>
            </w:pPr>
            <w:r w:rsidRPr="00F77E6B">
              <w:t>on-board diagnostics</w:t>
            </w:r>
          </w:p>
          <w:p w:rsidR="00000000" w:rsidRPr="00F77E6B" w:rsidP="00F77E6B">
            <w:pPr>
              <w:pStyle w:val="ListBullet"/>
            </w:pPr>
            <w:r w:rsidRPr="00F77E6B">
              <w:t xml:space="preserve">remote and wireless monitoring systems </w:t>
            </w:r>
          </w:p>
          <w:p w:rsidR="00000000" w:rsidP="00F77E6B">
            <w:pPr>
              <w:pStyle w:val="ListBullet"/>
              <w:rPr>
                <w:lang w:val="en-NZ"/>
              </w:rPr>
            </w:pPr>
            <w:r w:rsidRPr="00F77E6B">
              <w:t>multi-class bi-directional universal switch (BUS) systems.</w:t>
            </w:r>
          </w:p>
        </w:tc>
      </w:tr>
      <w:tr w:rsidTr="00F77E6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rPr>
                <w:rStyle w:val="BoldandItalics"/>
              </w:rPr>
              <w:t>Workplace health and safety (WHS) 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E6B" w:rsidP="00F77E6B">
            <w:pPr>
              <w:pStyle w:val="ListBullet"/>
            </w:pPr>
            <w:r w:rsidRPr="00F77E6B">
              <w:t>are those prescribed under legislation, regulations, codes of practice, and workplace policies and procedures</w:t>
            </w:r>
          </w:p>
          <w:p w:rsidR="00000000" w:rsidRPr="00F77E6B" w:rsidP="00F77E6B">
            <w:pPr>
              <w:pStyle w:val="ListBullet"/>
            </w:pPr>
            <w:r w:rsidRPr="00F77E6B">
              <w:t>may include:</w:t>
            </w:r>
          </w:p>
          <w:p w:rsidR="00000000" w:rsidRPr="00F77E6B" w:rsidP="00F77E6B">
            <w:pPr>
              <w:pStyle w:val="ListBullet2"/>
            </w:pPr>
            <w:r w:rsidRPr="00F77E6B">
              <w:t>protective clothing and equipment</w:t>
            </w:r>
          </w:p>
          <w:p w:rsidR="00000000" w:rsidRPr="00F77E6B" w:rsidP="00F77E6B">
            <w:pPr>
              <w:pStyle w:val="ListBullet2"/>
            </w:pPr>
            <w:r w:rsidRPr="00F77E6B">
              <w:t>use of tools and equipment</w:t>
            </w:r>
          </w:p>
          <w:p w:rsidR="00000000" w:rsidRPr="00F77E6B" w:rsidP="00F77E6B">
            <w:pPr>
              <w:pStyle w:val="ListBullet2"/>
            </w:pPr>
            <w:r w:rsidRPr="00F77E6B">
              <w:t>handling of material</w:t>
            </w:r>
          </w:p>
          <w:p w:rsidR="00000000" w:rsidRPr="00F77E6B" w:rsidP="00F77E6B">
            <w:pPr>
              <w:pStyle w:val="ListBullet2"/>
            </w:pPr>
            <w:r w:rsidRPr="00F77E6B">
              <w:t>use of fire-fighting equipment</w:t>
            </w:r>
          </w:p>
          <w:p w:rsidR="00000000" w:rsidRPr="00F77E6B" w:rsidP="00F77E6B">
            <w:pPr>
              <w:pStyle w:val="ListBullet2"/>
            </w:pPr>
            <w:r w:rsidRPr="00F77E6B">
              <w:t>first aid equipment</w:t>
            </w:r>
          </w:p>
          <w:p w:rsidR="00000000" w:rsidP="00F77E6B">
            <w:pPr>
              <w:pStyle w:val="ListBullet"/>
              <w:rPr>
                <w:lang w:val="en-NZ"/>
              </w:rPr>
            </w:pPr>
            <w:r w:rsidRPr="00F77E6B">
              <w:t>hazard control, including control of hazardous materials and toxic substances.</w:t>
            </w:r>
          </w:p>
        </w:tc>
      </w:tr>
      <w:tr w:rsidTr="00F77E6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rPr>
                <w:rStyle w:val="BoldandItalics"/>
              </w:rPr>
              <w:t xml:space="preserve">Faults </w:t>
            </w:r>
            <w:r w:rsidRPr="00F77E6B">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E6B" w:rsidP="00F77E6B">
            <w:pPr>
              <w:pStyle w:val="ListBullet"/>
            </w:pPr>
            <w:r w:rsidRPr="00F77E6B">
              <w:t>electrical and electronic failures</w:t>
            </w:r>
          </w:p>
          <w:p w:rsidR="00000000" w:rsidRPr="00F77E6B" w:rsidP="00F77E6B">
            <w:pPr>
              <w:pStyle w:val="ListBullet"/>
            </w:pPr>
            <w:r w:rsidRPr="00F77E6B">
              <w:t>direct faults in input sensors, output actuators, wiring harnesses or computer systems</w:t>
            </w:r>
          </w:p>
          <w:p w:rsidR="00000000" w:rsidP="00F77E6B">
            <w:pPr>
              <w:pStyle w:val="ListBullet"/>
              <w:rPr>
                <w:lang w:val="en-NZ"/>
              </w:rPr>
            </w:pPr>
            <w:r w:rsidRPr="00F77E6B">
              <w:t>indirect faults caused by the influence of electrical and electronic external systems, which may or may not be faulty in their primary</w:t>
            </w:r>
            <w:r w:rsidRPr="00F77E6B">
              <w:t xml:space="preserve"> operations.</w:t>
            </w:r>
          </w:p>
        </w:tc>
      </w:tr>
      <w:tr w:rsidTr="00F77E6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rPr>
                <w:rStyle w:val="BoldandItalics"/>
              </w:rPr>
              <w:t xml:space="preserve">Tests </w:t>
            </w:r>
            <w:r w:rsidRPr="00F77E6B">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E6B" w:rsidP="00F77E6B">
            <w:pPr>
              <w:pStyle w:val="ListBullet"/>
            </w:pPr>
            <w:r w:rsidRPr="00F77E6B">
              <w:t>wiring and connector integrity</w:t>
            </w:r>
          </w:p>
          <w:p w:rsidR="00000000" w:rsidRPr="00F77E6B" w:rsidP="00F77E6B">
            <w:pPr>
              <w:pStyle w:val="ListBullet"/>
            </w:pPr>
            <w:r w:rsidRPr="00F77E6B">
              <w:t>operation and specification of input and output devices</w:t>
            </w:r>
          </w:p>
          <w:p w:rsidR="00000000" w:rsidRPr="00F77E6B" w:rsidP="00F77E6B">
            <w:pPr>
              <w:pStyle w:val="ListBullet"/>
            </w:pPr>
            <w:r w:rsidRPr="00F77E6B">
              <w:t>controlling electronic components and computers</w:t>
            </w:r>
          </w:p>
          <w:p w:rsidR="00000000" w:rsidRPr="00F77E6B" w:rsidP="00F77E6B">
            <w:pPr>
              <w:pStyle w:val="ListBullet"/>
            </w:pPr>
            <w:r w:rsidRPr="00F77E6B">
              <w:t>tests to voltage reducers and voltage inverters</w:t>
            </w:r>
          </w:p>
          <w:p w:rsidR="00000000" w:rsidP="00F77E6B">
            <w:pPr>
              <w:pStyle w:val="ListBullet"/>
              <w:rPr>
                <w:lang w:val="en-NZ"/>
              </w:rPr>
            </w:pPr>
            <w:r w:rsidRPr="00F77E6B">
              <w:t>data interpretation and readings relating to direct, indirect and intermittent causes.</w:t>
            </w:r>
          </w:p>
        </w:tc>
      </w:tr>
      <w:tr w:rsidTr="00F77E6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rPr>
                <w:rStyle w:val="BoldandItalics"/>
              </w:rPr>
              <w:t>Testing equipment</w:t>
            </w:r>
            <w:r w:rsidRPr="00F77E6B">
              <w:t xml:space="preserve"> may </w:t>
            </w:r>
            <w:r w:rsidRPr="00F77E6B">
              <w:t>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E6B" w:rsidP="00F77E6B">
            <w:pPr>
              <w:pStyle w:val="ListBullet"/>
            </w:pPr>
            <w:r w:rsidRPr="00F77E6B">
              <w:t xml:space="preserve">analogue and digital multimeters </w:t>
            </w:r>
          </w:p>
          <w:p w:rsidR="00000000" w:rsidRPr="00F77E6B" w:rsidP="00F77E6B">
            <w:pPr>
              <w:pStyle w:val="ListBullet"/>
            </w:pPr>
            <w:r w:rsidRPr="00F77E6B">
              <w:t>lab oscilloscopes</w:t>
            </w:r>
          </w:p>
          <w:p w:rsidR="00000000" w:rsidRPr="00F77E6B" w:rsidP="00F77E6B">
            <w:pPr>
              <w:pStyle w:val="ListBullet"/>
            </w:pPr>
            <w:r w:rsidRPr="00F77E6B">
              <w:t>scan tools</w:t>
            </w:r>
          </w:p>
          <w:p w:rsidR="00000000" w:rsidRPr="00F77E6B" w:rsidP="00F77E6B">
            <w:pPr>
              <w:pStyle w:val="ListBullet"/>
            </w:pPr>
            <w:r w:rsidRPr="00F77E6B">
              <w:t>test lights and test LEDs</w:t>
            </w:r>
          </w:p>
          <w:p w:rsidR="00000000" w:rsidRPr="00F77E6B" w:rsidP="00F77E6B">
            <w:pPr>
              <w:pStyle w:val="ListBullet"/>
            </w:pPr>
            <w:r w:rsidRPr="00F77E6B">
              <w:t>pulse generators</w:t>
            </w:r>
          </w:p>
          <w:p w:rsidR="00000000" w:rsidP="00F77E6B">
            <w:pPr>
              <w:pStyle w:val="ListBullet"/>
              <w:rPr>
                <w:lang w:val="en-NZ"/>
              </w:rPr>
            </w:pPr>
            <w:r w:rsidRPr="00F77E6B">
              <w:t>manufacturer and component sup</w:t>
            </w:r>
            <w:r w:rsidRPr="00F77E6B">
              <w:t>plier testing equipment.</w:t>
            </w:r>
          </w:p>
        </w:tc>
      </w:tr>
      <w:tr w:rsidTr="00F77E6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rPr>
                <w:rStyle w:val="BoldandItalics"/>
              </w:rPr>
              <w:t>Diagnostic processes</w:t>
            </w:r>
            <w:r w:rsidRPr="00F77E6B">
              <w:t xml:space="preserve"> 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E6B" w:rsidP="00F77E6B">
            <w:pPr>
              <w:pStyle w:val="ListBullet"/>
            </w:pPr>
            <w:r w:rsidRPr="00F77E6B">
              <w:t>analysing manufacturer and component supplier specifications, schematics and operational procedures relating to vehicle monitoring and protection systems</w:t>
            </w:r>
          </w:p>
          <w:p w:rsidR="00000000" w:rsidRPr="00F77E6B" w:rsidP="00F77E6B">
            <w:pPr>
              <w:pStyle w:val="ListBullet"/>
            </w:pPr>
            <w:r w:rsidRPr="00F77E6B">
              <w:t>six-step troubleshooting plan</w:t>
            </w:r>
          </w:p>
          <w:p w:rsidR="00000000" w:rsidRPr="00F77E6B" w:rsidP="00F77E6B">
            <w:pPr>
              <w:pStyle w:val="ListBullet"/>
            </w:pPr>
            <w:r w:rsidRPr="00F77E6B">
              <w:t>component replacement</w:t>
            </w:r>
          </w:p>
          <w:p w:rsidR="00000000" w:rsidRPr="00F77E6B" w:rsidP="00F77E6B">
            <w:pPr>
              <w:pStyle w:val="ListBullet"/>
            </w:pPr>
            <w:r w:rsidRPr="00F77E6B">
              <w:t>discover-investigate-fix methodology.</w:t>
            </w:r>
          </w:p>
        </w:tc>
      </w:tr>
    </w:tbl>
    <w:p w:rsidR="00000000" w:rsidRPr="00F77E6B" w:rsidP="00F77E6B">
      <w:pPr>
        <w:pStyle w:val="BodyText"/>
      </w:pPr>
    </w:p>
    <w:p w:rsidR="00000000" w:rsidRPr="00F77E6B" w:rsidP="00F77E6B">
      <w:pPr>
        <w:pStyle w:val="AllowPageBreak"/>
      </w:pPr>
    </w:p>
    <w:p w:rsidR="00000000" w:rsidRPr="00F77E6B" w:rsidP="00F77E6B">
      <w:pPr>
        <w:pStyle w:val="Heading1"/>
      </w:pPr>
      <w:bookmarkStart w:id="12" w:name="O_492440"/>
      <w:bookmarkEnd w:id="12"/>
      <w:r w:rsidRPr="00F77E6B">
        <w:t>Unit Sector(s)</w:t>
      </w:r>
    </w:p>
    <w:tbl>
      <w:tblPr>
        <w:tblW w:w="9639" w:type="dxa"/>
        <w:tblLayout w:type="fixed"/>
        <w:tblCellMar>
          <w:left w:w="62" w:type="dxa"/>
          <w:right w:w="62" w:type="dxa"/>
        </w:tblCellMar>
        <w:tblLook w:val="0000"/>
      </w:tblPr>
      <w:tblGrid>
        <w:gridCol w:w="2977"/>
        <w:gridCol w:w="6662"/>
      </w:tblGrid>
      <w:tr w:rsidTr="00F77E6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t>Electrical</w:t>
            </w:r>
          </w:p>
        </w:tc>
      </w:tr>
      <w:tr w:rsidTr="00F77E6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E6B">
            <w:pPr>
              <w:pStyle w:val="BodyText"/>
              <w:rPr>
                <w:lang w:val="en-NZ"/>
              </w:rPr>
            </w:pPr>
            <w:r w:rsidRPr="00F77E6B">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E6B" w:rsidP="00F77E6B">
            <w:pPr>
              <w:pStyle w:val="BodyText"/>
            </w:pPr>
            <w:r w:rsidRPr="00F77E6B">
              <w:t>Technical – Electrical and Electronic</w:t>
            </w:r>
          </w:p>
        </w:tc>
      </w:tr>
    </w:tbl>
    <w:p w:rsidR="00000000" w:rsidRPr="00F77E6B" w:rsidP="00F77E6B">
      <w:pPr>
        <w:pStyle w:val="BodyText"/>
      </w:pPr>
    </w:p>
    <w:p w:rsidR="00000000" w:rsidRPr="00F77E6B" w:rsidP="00F77E6B">
      <w:pPr>
        <w:pStyle w:val="AllowPageBreak"/>
      </w:pPr>
    </w:p>
    <w:p w:rsidR="00000000" w:rsidRPr="00F77E6B" w:rsidP="00F77E6B">
      <w:pPr>
        <w:pStyle w:val="Heading1"/>
      </w:pPr>
      <w:bookmarkStart w:id="13" w:name="O_492441"/>
      <w:bookmarkEnd w:id="13"/>
      <w:r w:rsidRPr="00F77E6B">
        <w:t>Custom Content Section</w:t>
      </w:r>
    </w:p>
    <w:p w:rsidR="00000000" w:rsidRPr="00F77E6B" w:rsidP="00F77E6B">
      <w:pPr>
        <w:pStyle w:val="BodyText"/>
      </w:pPr>
      <w:r w:rsidRPr="00F77E6B">
        <w:t>Not applicable.</w:t>
      </w:r>
    </w:p>
    <w:p w:rsidR="00000000" w:rsidRPr="00F77E6B" w:rsidP="00F77E6B"/>
    <w:sectPr w:rsidSect="00F77E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E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E6B" w:rsidRPr="00577909" w:rsidP="005779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E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909" w:rsidP="00F77E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77909" w:rsidP="00F77E6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TPCMS</w:t>
    </w:r>
    <w:r>
      <w:fldChar w:fldCharType="end"/>
    </w:r>
  </w:p>
  <w:p w:rsidR="00577909" w:rsidP="00F77E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E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E6B" w:rsidRPr="00577909" w:rsidP="005779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E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909" w:rsidRPr="002D2AF8" w:rsidP="00F77E6B">
    <w:pPr>
      <w:pStyle w:val="Header"/>
      <w:framePr w:wrap="around"/>
    </w:pPr>
    <w:r>
      <w:fldChar w:fldCharType="begin"/>
    </w:r>
    <w:r>
      <w:instrText xml:space="preserve"> TITLE   \* MERGEFORMAT </w:instrText>
    </w:r>
    <w:r>
      <w:fldChar w:fldCharType="separate"/>
    </w:r>
    <w:r>
      <w:t>AURETR4040 Diagnose complex electrical and electronic faults in vehicle monitoring and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77909" w:rsidP="00F77E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3A3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74E5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AEC4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E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E6B"/>
    <w:pPr>
      <w:spacing w:before="360" w:after="60"/>
      <w:outlineLvl w:val="0"/>
    </w:pPr>
    <w:rPr>
      <w:sz w:val="32"/>
    </w:rPr>
  </w:style>
  <w:style w:type="paragraph" w:styleId="Heading2">
    <w:name w:val="heading 2"/>
    <w:basedOn w:val="HeadingBase"/>
    <w:next w:val="BodyText"/>
    <w:link w:val="Heading2Char"/>
    <w:qFormat/>
    <w:rsid w:val="00F77E6B"/>
    <w:pPr>
      <w:keepLines/>
      <w:spacing w:before="240" w:after="120"/>
      <w:outlineLvl w:val="1"/>
    </w:pPr>
    <w:rPr>
      <w:sz w:val="28"/>
      <w:szCs w:val="40"/>
    </w:rPr>
  </w:style>
  <w:style w:type="paragraph" w:styleId="Heading3">
    <w:name w:val="heading 3"/>
    <w:basedOn w:val="HeadingBase"/>
    <w:next w:val="BodyText"/>
    <w:link w:val="Heading3Char"/>
    <w:qFormat/>
    <w:rsid w:val="00F77E6B"/>
    <w:pPr>
      <w:spacing w:before="180" w:after="120"/>
      <w:outlineLvl w:val="2"/>
    </w:pPr>
    <w:rPr>
      <w:spacing w:val="-10"/>
      <w:kern w:val="32"/>
    </w:rPr>
  </w:style>
  <w:style w:type="paragraph" w:styleId="Heading4">
    <w:name w:val="heading 4"/>
    <w:basedOn w:val="HeadingBase"/>
    <w:next w:val="BodyText"/>
    <w:link w:val="Heading4Char"/>
    <w:qFormat/>
    <w:rsid w:val="00F77E6B"/>
    <w:pPr>
      <w:spacing w:before="160" w:after="120"/>
      <w:outlineLvl w:val="3"/>
    </w:pPr>
    <w:rPr>
      <w:sz w:val="22"/>
    </w:rPr>
  </w:style>
  <w:style w:type="paragraph" w:styleId="Heading5">
    <w:name w:val="heading 5"/>
    <w:basedOn w:val="HeadingBase"/>
    <w:next w:val="Normal"/>
    <w:link w:val="Heading5Char"/>
    <w:qFormat/>
    <w:rsid w:val="00F77E6B"/>
    <w:pPr>
      <w:spacing w:before="80"/>
      <w:outlineLvl w:val="4"/>
    </w:pPr>
    <w:rPr>
      <w:color w:val="918585"/>
      <w:sz w:val="20"/>
    </w:rPr>
  </w:style>
  <w:style w:type="paragraph" w:styleId="Heading6">
    <w:name w:val="heading 6"/>
    <w:basedOn w:val="HeadingBase"/>
    <w:next w:val="Normal"/>
    <w:link w:val="Heading6Char"/>
    <w:qFormat/>
    <w:rsid w:val="00F77E6B"/>
    <w:pPr>
      <w:spacing w:before="60"/>
      <w:outlineLvl w:val="5"/>
    </w:pPr>
    <w:rPr>
      <w:color w:val="918585"/>
      <w:sz w:val="20"/>
    </w:rPr>
  </w:style>
  <w:style w:type="paragraph" w:styleId="Heading7">
    <w:name w:val="heading 7"/>
    <w:basedOn w:val="Normal"/>
    <w:next w:val="Normal"/>
    <w:link w:val="Heading7Char"/>
    <w:qFormat/>
    <w:rsid w:val="00F77E6B"/>
    <w:pPr>
      <w:ind w:left="720"/>
      <w:outlineLvl w:val="6"/>
    </w:pPr>
    <w:rPr>
      <w:i/>
    </w:rPr>
  </w:style>
  <w:style w:type="paragraph" w:styleId="Heading8">
    <w:name w:val="heading 8"/>
    <w:basedOn w:val="Normal"/>
    <w:next w:val="Normal"/>
    <w:link w:val="Heading8Char"/>
    <w:qFormat/>
    <w:rsid w:val="00F77E6B"/>
    <w:pPr>
      <w:ind w:left="720"/>
      <w:outlineLvl w:val="7"/>
    </w:pPr>
    <w:rPr>
      <w:i/>
    </w:rPr>
  </w:style>
  <w:style w:type="paragraph" w:styleId="Heading9">
    <w:name w:val="heading 9"/>
    <w:basedOn w:val="Normal"/>
    <w:next w:val="Normal"/>
    <w:link w:val="Heading9Char"/>
    <w:qFormat/>
    <w:rsid w:val="00F77E6B"/>
    <w:pPr>
      <w:ind w:left="720"/>
      <w:outlineLvl w:val="8"/>
    </w:pPr>
    <w:rPr>
      <w:i/>
    </w:rPr>
  </w:style>
  <w:style w:type="character" w:default="1" w:styleId="DefaultParagraphFont">
    <w:name w:val="Default Paragraph Font"/>
    <w:uiPriority w:val="1"/>
    <w:unhideWhenUsed/>
    <w:rsid w:val="00F77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E6B"/>
  </w:style>
  <w:style w:type="character" w:customStyle="1" w:styleId="Heading1Char">
    <w:name w:val="Heading 1 Char"/>
    <w:basedOn w:val="DefaultParagraphFont"/>
    <w:link w:val="Heading1"/>
    <w:rsid w:val="00F77E6B"/>
    <w:rPr>
      <w:rFonts w:ascii="Times New Roman" w:eastAsia="Times New Roman" w:hAnsi="Times New Roman" w:cs="Times New Roman"/>
      <w:b/>
      <w:sz w:val="32"/>
      <w:szCs w:val="20"/>
      <w:lang w:eastAsia="en-US"/>
    </w:rPr>
  </w:style>
  <w:style w:type="paragraph" w:styleId="BodyText">
    <w:name w:val="Body Text"/>
    <w:basedOn w:val="Normal"/>
    <w:link w:val="BodyTextChar"/>
    <w:rsid w:val="00F77E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7E6B"/>
    <w:rPr>
      <w:rFonts w:ascii="Times New Roman" w:eastAsia="Times New Roman" w:hAnsi="Times New Roman" w:cs="Times New Roman"/>
      <w:sz w:val="24"/>
      <w:lang w:eastAsia="en-US"/>
    </w:rPr>
  </w:style>
  <w:style w:type="paragraph" w:styleId="List">
    <w:name w:val="List"/>
    <w:basedOn w:val="BodyText"/>
    <w:next w:val="BodyText"/>
    <w:rsid w:val="00F77E6B"/>
    <w:pPr>
      <w:tabs>
        <w:tab w:val="left" w:pos="340"/>
      </w:tabs>
      <w:spacing w:before="60" w:after="60"/>
      <w:ind w:left="340" w:hanging="340"/>
    </w:pPr>
  </w:style>
  <w:style w:type="paragraph" w:styleId="ListBullet">
    <w:name w:val="List Bullet"/>
    <w:basedOn w:val="List"/>
    <w:rsid w:val="00F77E6B"/>
    <w:pPr>
      <w:numPr>
        <w:numId w:val="13"/>
      </w:numPr>
      <w:tabs>
        <w:tab w:val="clear" w:pos="340"/>
      </w:tabs>
      <w:spacing w:before="40" w:after="40"/>
    </w:pPr>
  </w:style>
  <w:style w:type="character" w:customStyle="1" w:styleId="SpecialBold">
    <w:name w:val="Special Bold"/>
    <w:basedOn w:val="DefaultParagraphFont"/>
    <w:rsid w:val="00F77E6B"/>
    <w:rPr>
      <w:b/>
      <w:spacing w:val="0"/>
    </w:rPr>
  </w:style>
  <w:style w:type="paragraph" w:styleId="ListBullet2">
    <w:name w:val="List Bullet 2"/>
    <w:basedOn w:val="List2"/>
    <w:rsid w:val="00F77E6B"/>
    <w:pPr>
      <w:numPr>
        <w:numId w:val="14"/>
      </w:numPr>
      <w:tabs>
        <w:tab w:val="clear" w:pos="680"/>
      </w:tabs>
    </w:pPr>
  </w:style>
  <w:style w:type="paragraph" w:customStyle="1" w:styleId="SuperHeading">
    <w:name w:val="SuperHeading"/>
    <w:basedOn w:val="Normal"/>
    <w:rsid w:val="00F77E6B"/>
    <w:pPr>
      <w:spacing w:before="240" w:after="120"/>
      <w:outlineLvl w:val="0"/>
    </w:pPr>
    <w:rPr>
      <w:rFonts w:ascii="Times New Roman" w:hAnsi="Times New Roman"/>
      <w:b/>
      <w:sz w:val="32"/>
    </w:rPr>
  </w:style>
  <w:style w:type="paragraph" w:customStyle="1" w:styleId="AllowPageBreak">
    <w:name w:val="AllowPageBreak"/>
    <w:rsid w:val="00F77E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7E6B"/>
    <w:pPr>
      <w:tabs>
        <w:tab w:val="left" w:pos="680"/>
      </w:tabs>
      <w:spacing w:before="60" w:after="60"/>
      <w:ind w:left="680" w:hanging="340"/>
    </w:pPr>
  </w:style>
  <w:style w:type="character" w:customStyle="1" w:styleId="BoldandItalics">
    <w:name w:val="Bold and Italics"/>
    <w:qFormat/>
    <w:rsid w:val="00F77E6B"/>
    <w:rPr>
      <w:b/>
      <w:i/>
      <w:u w:val="none"/>
    </w:rPr>
  </w:style>
  <w:style w:type="character" w:customStyle="1" w:styleId="Heading2Char">
    <w:name w:val="Heading 2 Char"/>
    <w:basedOn w:val="DefaultParagraphFont"/>
    <w:link w:val="Heading2"/>
    <w:rsid w:val="00F77E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E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E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E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E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E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E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E6B"/>
    <w:rPr>
      <w:rFonts w:ascii="Courier New" w:eastAsia="Times New Roman" w:hAnsi="Courier New" w:cs="Times New Roman"/>
      <w:i/>
      <w:szCs w:val="20"/>
      <w:lang w:eastAsia="en-US"/>
    </w:rPr>
  </w:style>
  <w:style w:type="paragraph" w:customStyle="1" w:styleId="HeadingBase">
    <w:name w:val="Heading Base"/>
    <w:rsid w:val="00F77E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E6B"/>
    <w:pPr>
      <w:tabs>
        <w:tab w:val="right" w:leader="dot" w:pos="9072"/>
      </w:tabs>
      <w:ind w:left="567"/>
    </w:pPr>
    <w:rPr>
      <w:szCs w:val="22"/>
    </w:rPr>
  </w:style>
  <w:style w:type="paragraph" w:customStyle="1" w:styleId="TOCBase">
    <w:name w:val="TOC Base"/>
    <w:rsid w:val="00F77E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E6B"/>
    <w:pPr>
      <w:tabs>
        <w:tab w:val="right" w:leader="dot" w:pos="9072"/>
      </w:tabs>
      <w:spacing w:before="40" w:after="40"/>
      <w:ind w:left="284"/>
    </w:pPr>
    <w:rPr>
      <w:rFonts w:ascii="Times New Roman" w:hAnsi="Times New Roman"/>
    </w:rPr>
  </w:style>
  <w:style w:type="paragraph" w:styleId="TOC1">
    <w:name w:val="toc 1"/>
    <w:basedOn w:val="TOCBase"/>
    <w:next w:val="Normal"/>
    <w:rsid w:val="00F77E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E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E6B"/>
    <w:rPr>
      <w:rFonts w:ascii="Times New Roman" w:eastAsia="Times New Roman" w:hAnsi="Times New Roman" w:cs="Times New Roman"/>
      <w:sz w:val="16"/>
      <w:lang w:eastAsia="en-US"/>
    </w:rPr>
  </w:style>
  <w:style w:type="paragraph" w:styleId="Title">
    <w:name w:val="Title"/>
    <w:basedOn w:val="HeadingBase"/>
    <w:link w:val="TitleChar"/>
    <w:qFormat/>
    <w:rsid w:val="00F77E6B"/>
    <w:pPr>
      <w:spacing w:before="5040"/>
      <w:jc w:val="center"/>
    </w:pPr>
    <w:rPr>
      <w:sz w:val="48"/>
      <w:szCs w:val="72"/>
      <w:lang w:val="en-US"/>
    </w:rPr>
  </w:style>
  <w:style w:type="character" w:customStyle="1" w:styleId="TitleChar">
    <w:name w:val="Title Char"/>
    <w:basedOn w:val="DefaultParagraphFont"/>
    <w:link w:val="Title"/>
    <w:rsid w:val="00F77E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E6B"/>
    <w:pPr>
      <w:tabs>
        <w:tab w:val="left" w:pos="3600"/>
        <w:tab w:val="left" w:pos="3958"/>
      </w:tabs>
    </w:pPr>
  </w:style>
  <w:style w:type="paragraph" w:customStyle="1" w:styleId="Note">
    <w:name w:val="Note"/>
    <w:basedOn w:val="BodyText"/>
    <w:rsid w:val="00F77E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E6B"/>
    <w:pPr>
      <w:framePr w:wrap="auto" w:hAnchor="text" w:y="6049"/>
    </w:pPr>
    <w:rPr>
      <w:color w:val="000000"/>
      <w:sz w:val="40"/>
    </w:rPr>
  </w:style>
  <w:style w:type="paragraph" w:customStyle="1" w:styleId="TOCTitle">
    <w:name w:val="TOCTitle"/>
    <w:basedOn w:val="Heading1"/>
    <w:rsid w:val="00F77E6B"/>
    <w:pPr>
      <w:spacing w:after="240"/>
      <w:jc w:val="center"/>
      <w:outlineLvl w:val="9"/>
    </w:pPr>
    <w:rPr>
      <w:caps/>
    </w:rPr>
  </w:style>
  <w:style w:type="paragraph" w:customStyle="1" w:styleId="Version">
    <w:name w:val="Version"/>
    <w:rsid w:val="00F77E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E6B"/>
    <w:pPr>
      <w:keepNext w:val="0"/>
      <w:tabs>
        <w:tab w:val="right" w:pos="4176"/>
      </w:tabs>
      <w:ind w:left="198" w:hanging="198"/>
    </w:pPr>
    <w:rPr>
      <w:rFonts w:ascii="Garamond" w:hAnsi="Garamond"/>
    </w:rPr>
  </w:style>
  <w:style w:type="paragraph" w:styleId="IndexHeading">
    <w:name w:val="index heading"/>
    <w:basedOn w:val="Normal"/>
    <w:next w:val="Index1"/>
    <w:semiHidden/>
    <w:rsid w:val="00F77E6B"/>
    <w:pPr>
      <w:spacing w:before="120" w:after="120"/>
    </w:pPr>
    <w:rPr>
      <w:rFonts w:ascii="Arial" w:hAnsi="Arial"/>
      <w:b/>
      <w:color w:val="918585"/>
      <w:sz w:val="24"/>
    </w:rPr>
  </w:style>
  <w:style w:type="paragraph" w:styleId="Header">
    <w:name w:val="header"/>
    <w:basedOn w:val="Normal"/>
    <w:link w:val="HeaderChar"/>
    <w:rsid w:val="00F77E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E6B"/>
    <w:rPr>
      <w:rFonts w:ascii="Times New Roman" w:eastAsia="Times New Roman" w:hAnsi="Times New Roman" w:cs="Times New Roman"/>
      <w:sz w:val="16"/>
      <w:szCs w:val="20"/>
      <w:lang w:val="en-GB" w:eastAsia="en-US"/>
    </w:rPr>
  </w:style>
  <w:style w:type="paragraph" w:customStyle="1" w:styleId="Chapter">
    <w:name w:val="Chapter"/>
    <w:basedOn w:val="Normal"/>
    <w:rsid w:val="00F77E6B"/>
    <w:pPr>
      <w:spacing w:before="240"/>
    </w:pPr>
    <w:rPr>
      <w:rFonts w:ascii="Times New Roman" w:hAnsi="Times New Roman"/>
      <w:smallCaps/>
      <w:spacing w:val="80"/>
      <w:sz w:val="28"/>
    </w:rPr>
  </w:style>
  <w:style w:type="paragraph" w:customStyle="1" w:styleId="InChapter">
    <w:name w:val="InChapter"/>
    <w:basedOn w:val="Heading3"/>
    <w:rsid w:val="00F77E6B"/>
    <w:pPr>
      <w:spacing w:after="240"/>
      <w:outlineLvl w:val="9"/>
    </w:pPr>
    <w:rPr>
      <w:noProof/>
    </w:rPr>
  </w:style>
  <w:style w:type="paragraph" w:styleId="Index2">
    <w:name w:val="index 2"/>
    <w:basedOn w:val="Normal"/>
    <w:next w:val="Normal"/>
    <w:semiHidden/>
    <w:rsid w:val="00F77E6B"/>
    <w:pPr>
      <w:tabs>
        <w:tab w:val="right" w:pos="4176"/>
      </w:tabs>
      <w:ind w:left="568" w:hanging="284"/>
    </w:pPr>
    <w:rPr>
      <w:rFonts w:ascii="Garamond" w:hAnsi="Garamond"/>
    </w:rPr>
  </w:style>
  <w:style w:type="paragraph" w:customStyle="1" w:styleId="Byline">
    <w:name w:val="Byline"/>
    <w:rsid w:val="00F77E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E6B"/>
    <w:pPr>
      <w:tabs>
        <w:tab w:val="clear" w:pos="3600"/>
        <w:tab w:val="clear" w:pos="3958"/>
      </w:tabs>
      <w:jc w:val="right"/>
    </w:pPr>
  </w:style>
  <w:style w:type="character" w:styleId="Emphasis">
    <w:name w:val="Emphasis"/>
    <w:basedOn w:val="DefaultParagraphFont"/>
    <w:qFormat/>
    <w:rsid w:val="00F77E6B"/>
    <w:rPr>
      <w:i/>
    </w:rPr>
  </w:style>
  <w:style w:type="paragraph" w:styleId="Caption">
    <w:name w:val="caption"/>
    <w:basedOn w:val="BodyText"/>
    <w:next w:val="Normal"/>
    <w:qFormat/>
    <w:rsid w:val="00F77E6B"/>
    <w:pPr>
      <w:framePr w:w="2268" w:hSpace="181" w:vSpace="181" w:wrap="around" w:vAnchor="text" w:hAnchor="page" w:x="1135" w:y="285" w:anchorLock="1"/>
    </w:pPr>
    <w:rPr>
      <w:i/>
    </w:rPr>
  </w:style>
  <w:style w:type="paragraph" w:customStyle="1" w:styleId="MiniTOCTitle">
    <w:name w:val="MiniTOCTitle"/>
    <w:basedOn w:val="Heading4"/>
    <w:rsid w:val="00F77E6B"/>
    <w:pPr>
      <w:spacing w:before="240"/>
      <w:outlineLvl w:val="9"/>
    </w:pPr>
    <w:rPr>
      <w:noProof/>
      <w:sz w:val="24"/>
    </w:rPr>
  </w:style>
  <w:style w:type="paragraph" w:customStyle="1" w:styleId="MiniTOCItem">
    <w:name w:val="MiniTOCItem"/>
    <w:basedOn w:val="ListBullet"/>
    <w:rsid w:val="00F77E6B"/>
    <w:pPr>
      <w:numPr>
        <w:numId w:val="0"/>
      </w:numPr>
      <w:tabs>
        <w:tab w:val="right" w:leader="dot" w:pos="6521"/>
      </w:tabs>
      <w:spacing w:before="0" w:after="0"/>
    </w:pPr>
  </w:style>
  <w:style w:type="paragraph" w:customStyle="1" w:styleId="TOFTitle">
    <w:name w:val="TOFTitle"/>
    <w:basedOn w:val="TOCTitle"/>
    <w:rsid w:val="00F77E6B"/>
  </w:style>
  <w:style w:type="paragraph" w:styleId="TableofFigures">
    <w:name w:val="table of figures"/>
    <w:basedOn w:val="Normal"/>
    <w:next w:val="Normal"/>
    <w:semiHidden/>
    <w:rsid w:val="00F77E6B"/>
    <w:pPr>
      <w:tabs>
        <w:tab w:val="right" w:leader="dot" w:pos="9072"/>
      </w:tabs>
      <w:ind w:left="970" w:hanging="403"/>
    </w:pPr>
    <w:rPr>
      <w:rFonts w:ascii="Times New Roman" w:hAnsi="Times New Roman"/>
      <w:b/>
    </w:rPr>
  </w:style>
  <w:style w:type="paragraph" w:styleId="ListNumber">
    <w:name w:val="List Number"/>
    <w:basedOn w:val="List"/>
    <w:rsid w:val="00F77E6B"/>
    <w:pPr>
      <w:numPr>
        <w:numId w:val="11"/>
      </w:numPr>
    </w:pPr>
  </w:style>
  <w:style w:type="character" w:customStyle="1" w:styleId="WingdingSymbols">
    <w:name w:val="Wingding Symbols"/>
    <w:rsid w:val="00F77E6B"/>
    <w:rPr>
      <w:rFonts w:ascii="Wingdings" w:hAnsi="Wingdings"/>
    </w:rPr>
  </w:style>
  <w:style w:type="paragraph" w:customStyle="1" w:styleId="TableHeading">
    <w:name w:val="Table Heading"/>
    <w:basedOn w:val="HeadingBase"/>
    <w:rsid w:val="00F77E6B"/>
    <w:pPr>
      <w:keepLines/>
      <w:pBdr>
        <w:bottom w:val="single" w:sz="6" w:space="1" w:color="918585"/>
      </w:pBdr>
      <w:spacing w:before="240"/>
    </w:pPr>
  </w:style>
  <w:style w:type="character" w:customStyle="1" w:styleId="HotSpot">
    <w:name w:val="HotSpot"/>
    <w:rsid w:val="00F77E6B"/>
    <w:rPr>
      <w:color w:val="0033CC"/>
      <w:u w:val="none"/>
    </w:rPr>
  </w:style>
  <w:style w:type="paragraph" w:customStyle="1" w:styleId="BodyTextRight">
    <w:name w:val="Body Text Right"/>
    <w:basedOn w:val="BodyText"/>
    <w:rsid w:val="00F77E6B"/>
    <w:pPr>
      <w:spacing w:before="0" w:after="0"/>
      <w:jc w:val="right"/>
    </w:pPr>
  </w:style>
  <w:style w:type="paragraph" w:styleId="Index3">
    <w:name w:val="index 3"/>
    <w:basedOn w:val="ListNumber2"/>
    <w:next w:val="Normal"/>
    <w:semiHidden/>
    <w:rsid w:val="00F77E6B"/>
    <w:pPr>
      <w:numPr>
        <w:numId w:val="0"/>
      </w:numPr>
      <w:tabs>
        <w:tab w:val="right" w:leader="dot" w:pos="4176"/>
      </w:tabs>
    </w:pPr>
  </w:style>
  <w:style w:type="paragraph" w:styleId="ListNumber2">
    <w:name w:val="List Number 2"/>
    <w:basedOn w:val="List2"/>
    <w:rsid w:val="00F77E6B"/>
    <w:pPr>
      <w:numPr>
        <w:numId w:val="10"/>
      </w:numPr>
      <w:tabs>
        <w:tab w:val="clear" w:pos="1060"/>
      </w:tabs>
    </w:pPr>
  </w:style>
  <w:style w:type="paragraph" w:customStyle="1" w:styleId="MarginNote">
    <w:name w:val="Margin Note"/>
    <w:basedOn w:val="BodyText"/>
    <w:rsid w:val="00F77E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E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E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E6B"/>
    <w:rPr>
      <w:sz w:val="32"/>
    </w:rPr>
  </w:style>
  <w:style w:type="paragraph" w:customStyle="1" w:styleId="HeadingProcedure">
    <w:name w:val="Heading Procedure"/>
    <w:basedOn w:val="HeadingBase"/>
    <w:next w:val="Normal"/>
    <w:rsid w:val="00F77E6B"/>
    <w:pPr>
      <w:tabs>
        <w:tab w:val="left" w:pos="0"/>
      </w:tabs>
      <w:spacing w:before="120" w:after="60"/>
    </w:pPr>
    <w:rPr>
      <w:i/>
      <w:color w:val="918585"/>
      <w:sz w:val="22"/>
    </w:rPr>
  </w:style>
  <w:style w:type="paragraph" w:customStyle="1" w:styleId="TableBodyText">
    <w:name w:val="Table Body Text"/>
    <w:basedOn w:val="BodyText"/>
    <w:rsid w:val="00F77E6B"/>
    <w:pPr>
      <w:spacing w:before="60" w:after="60"/>
    </w:pPr>
  </w:style>
  <w:style w:type="paragraph" w:styleId="ListContinue">
    <w:name w:val="List Continue"/>
    <w:basedOn w:val="List"/>
    <w:rsid w:val="00F77E6B"/>
    <w:pPr>
      <w:ind w:firstLine="0"/>
    </w:pPr>
  </w:style>
  <w:style w:type="paragraph" w:customStyle="1" w:styleId="ListNote">
    <w:name w:val="List Note"/>
    <w:basedOn w:val="List"/>
    <w:rsid w:val="00F77E6B"/>
    <w:pPr>
      <w:pBdr>
        <w:top w:val="single" w:sz="6" w:space="2" w:color="918585"/>
        <w:bottom w:val="single" w:sz="6" w:space="2" w:color="918585"/>
      </w:pBdr>
      <w:tabs>
        <w:tab w:val="left" w:pos="1021"/>
      </w:tabs>
      <w:ind w:firstLine="0"/>
    </w:pPr>
  </w:style>
  <w:style w:type="paragraph" w:customStyle="1" w:styleId="Warning">
    <w:name w:val="Warning"/>
    <w:basedOn w:val="BodyText"/>
    <w:rsid w:val="00F77E6B"/>
    <w:pPr>
      <w:shd w:val="clear" w:color="auto" w:fill="D9D9D9"/>
      <w:tabs>
        <w:tab w:val="left" w:pos="992"/>
      </w:tabs>
      <w:ind w:left="119" w:right="119"/>
    </w:pPr>
    <w:rPr>
      <w:sz w:val="20"/>
    </w:rPr>
  </w:style>
  <w:style w:type="paragraph" w:customStyle="1" w:styleId="MarginIcons">
    <w:name w:val="Margin Icons"/>
    <w:basedOn w:val="BodyText"/>
    <w:rsid w:val="00F77E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E6B"/>
    <w:rPr>
      <w:rFonts w:ascii="Courier New" w:hAnsi="Courier New"/>
    </w:rPr>
  </w:style>
  <w:style w:type="paragraph" w:customStyle="1" w:styleId="NoteBullet">
    <w:name w:val="Note Bullet"/>
    <w:basedOn w:val="Note"/>
    <w:rsid w:val="00F77E6B"/>
    <w:pPr>
      <w:tabs>
        <w:tab w:val="clear" w:pos="680"/>
      </w:tabs>
      <w:spacing w:before="60" w:after="60"/>
    </w:pPr>
  </w:style>
  <w:style w:type="paragraph" w:customStyle="1" w:styleId="SubHeading2">
    <w:name w:val="SubHeading2"/>
    <w:basedOn w:val="HeadingBase"/>
    <w:rsid w:val="00F77E6B"/>
    <w:pPr>
      <w:spacing w:before="240" w:after="60"/>
    </w:pPr>
    <w:rPr>
      <w:sz w:val="20"/>
    </w:rPr>
  </w:style>
  <w:style w:type="paragraph" w:customStyle="1" w:styleId="SubHeading1">
    <w:name w:val="SubHeading1"/>
    <w:basedOn w:val="HeadingBase"/>
    <w:rsid w:val="00F77E6B"/>
    <w:pPr>
      <w:spacing w:before="240" w:after="60"/>
    </w:pPr>
    <w:rPr>
      <w:color w:val="918585"/>
      <w:sz w:val="22"/>
    </w:rPr>
  </w:style>
  <w:style w:type="paragraph" w:customStyle="1" w:styleId="SideHeading">
    <w:name w:val="Side Heading"/>
    <w:basedOn w:val="HeadingBase"/>
    <w:rsid w:val="00F77E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E6B"/>
    <w:pPr>
      <w:numPr>
        <w:numId w:val="12"/>
      </w:numPr>
    </w:pPr>
  </w:style>
  <w:style w:type="paragraph" w:styleId="PlainText">
    <w:name w:val="Plain Text"/>
    <w:basedOn w:val="Normal"/>
    <w:link w:val="PlainTextChar"/>
    <w:rsid w:val="00F77E6B"/>
    <w:rPr>
      <w:sz w:val="20"/>
    </w:rPr>
  </w:style>
  <w:style w:type="character" w:customStyle="1" w:styleId="PlainTextChar">
    <w:name w:val="Plain Text Char"/>
    <w:basedOn w:val="DefaultParagraphFont"/>
    <w:link w:val="PlainText"/>
    <w:rsid w:val="00F77E6B"/>
    <w:rPr>
      <w:rFonts w:ascii="Courier New" w:eastAsia="Times New Roman" w:hAnsi="Courier New" w:cs="Times New Roman"/>
      <w:sz w:val="20"/>
      <w:szCs w:val="20"/>
      <w:lang w:eastAsia="en-US"/>
    </w:rPr>
  </w:style>
  <w:style w:type="character" w:customStyle="1" w:styleId="MenuOption">
    <w:name w:val="Menu Option"/>
    <w:basedOn w:val="DefaultParagraphFont"/>
    <w:rsid w:val="00F77E6B"/>
    <w:rPr>
      <w:b/>
      <w:smallCaps/>
    </w:rPr>
  </w:style>
  <w:style w:type="paragraph" w:customStyle="1" w:styleId="TableListNumber">
    <w:name w:val="Table List Number"/>
    <w:basedOn w:val="ListNumber"/>
    <w:rsid w:val="00F77E6B"/>
    <w:pPr>
      <w:numPr>
        <w:numId w:val="0"/>
      </w:numPr>
    </w:pPr>
  </w:style>
  <w:style w:type="paragraph" w:styleId="TOC4">
    <w:name w:val="toc 4"/>
    <w:basedOn w:val="TOCBase"/>
    <w:next w:val="Normal"/>
    <w:semiHidden/>
    <w:rsid w:val="00F77E6B"/>
    <w:pPr>
      <w:tabs>
        <w:tab w:val="right" w:leader="dot" w:pos="9071"/>
      </w:tabs>
      <w:ind w:left="1701"/>
    </w:pPr>
  </w:style>
  <w:style w:type="paragraph" w:customStyle="1" w:styleId="ListAlpha">
    <w:name w:val="List Alpha"/>
    <w:basedOn w:val="List"/>
    <w:rsid w:val="00F77E6B"/>
    <w:pPr>
      <w:numPr>
        <w:numId w:val="9"/>
      </w:numPr>
    </w:pPr>
  </w:style>
  <w:style w:type="paragraph" w:customStyle="1" w:styleId="ListAlpha2">
    <w:name w:val="List Alpha 2"/>
    <w:basedOn w:val="List2"/>
    <w:rsid w:val="00F77E6B"/>
    <w:pPr>
      <w:numPr>
        <w:numId w:val="8"/>
      </w:numPr>
    </w:pPr>
  </w:style>
  <w:style w:type="paragraph" w:styleId="List3">
    <w:name w:val="List 3"/>
    <w:basedOn w:val="BodyText"/>
    <w:rsid w:val="00F77E6B"/>
    <w:pPr>
      <w:tabs>
        <w:tab w:val="left" w:pos="1021"/>
      </w:tabs>
      <w:spacing w:before="60" w:after="60"/>
      <w:ind w:left="1020" w:hanging="340"/>
    </w:pPr>
  </w:style>
  <w:style w:type="paragraph" w:styleId="List4">
    <w:name w:val="List 4"/>
    <w:basedOn w:val="BodyText"/>
    <w:rsid w:val="00F77E6B"/>
    <w:pPr>
      <w:tabs>
        <w:tab w:val="left" w:pos="1361"/>
      </w:tabs>
      <w:spacing w:before="60" w:after="60"/>
      <w:ind w:left="1361" w:hanging="340"/>
    </w:pPr>
  </w:style>
  <w:style w:type="paragraph" w:styleId="List5">
    <w:name w:val="List 5"/>
    <w:basedOn w:val="BodyText"/>
    <w:rsid w:val="00F77E6B"/>
    <w:pPr>
      <w:tabs>
        <w:tab w:val="left" w:pos="1701"/>
      </w:tabs>
      <w:spacing w:before="60" w:after="60"/>
      <w:ind w:left="1701" w:hanging="340"/>
    </w:pPr>
  </w:style>
  <w:style w:type="paragraph" w:styleId="ListBullet3">
    <w:name w:val="List Bullet 3"/>
    <w:basedOn w:val="List3"/>
    <w:rsid w:val="00F77E6B"/>
    <w:pPr>
      <w:numPr>
        <w:numId w:val="15"/>
      </w:numPr>
      <w:tabs>
        <w:tab w:val="clear" w:pos="1021"/>
      </w:tabs>
      <w:ind w:left="1037" w:hanging="357"/>
    </w:pPr>
  </w:style>
  <w:style w:type="paragraph" w:styleId="ListBullet4">
    <w:name w:val="List Bullet 4"/>
    <w:basedOn w:val="List4"/>
    <w:rsid w:val="00F77E6B"/>
    <w:pPr>
      <w:numPr>
        <w:numId w:val="3"/>
      </w:numPr>
    </w:pPr>
  </w:style>
  <w:style w:type="paragraph" w:styleId="ListBullet5">
    <w:name w:val="List Bullet 5"/>
    <w:basedOn w:val="List5"/>
    <w:rsid w:val="00F77E6B"/>
    <w:pPr>
      <w:numPr>
        <w:numId w:val="4"/>
      </w:numPr>
    </w:pPr>
  </w:style>
  <w:style w:type="paragraph" w:styleId="ListContinue2">
    <w:name w:val="List Continue 2"/>
    <w:basedOn w:val="List2"/>
    <w:rsid w:val="00F77E6B"/>
    <w:pPr>
      <w:ind w:firstLine="0"/>
    </w:pPr>
  </w:style>
  <w:style w:type="paragraph" w:styleId="ListContinue3">
    <w:name w:val="List Continue 3"/>
    <w:basedOn w:val="List3"/>
    <w:rsid w:val="00F77E6B"/>
    <w:pPr>
      <w:ind w:left="1021" w:firstLine="0"/>
    </w:pPr>
  </w:style>
  <w:style w:type="paragraph" w:styleId="ListContinue4">
    <w:name w:val="List Continue 4"/>
    <w:basedOn w:val="List4"/>
    <w:rsid w:val="00F77E6B"/>
    <w:pPr>
      <w:ind w:firstLine="0"/>
    </w:pPr>
  </w:style>
  <w:style w:type="paragraph" w:styleId="ListContinue5">
    <w:name w:val="List Continue 5"/>
    <w:basedOn w:val="List5"/>
    <w:rsid w:val="00F77E6B"/>
    <w:pPr>
      <w:ind w:firstLine="0"/>
    </w:pPr>
  </w:style>
  <w:style w:type="paragraph" w:styleId="ListNumber3">
    <w:name w:val="List Number 3"/>
    <w:basedOn w:val="List3"/>
    <w:rsid w:val="00F77E6B"/>
    <w:pPr>
      <w:numPr>
        <w:numId w:val="5"/>
      </w:numPr>
    </w:pPr>
  </w:style>
  <w:style w:type="paragraph" w:styleId="ListNumber4">
    <w:name w:val="List Number 4"/>
    <w:basedOn w:val="List4"/>
    <w:rsid w:val="00F77E6B"/>
    <w:pPr>
      <w:numPr>
        <w:numId w:val="6"/>
      </w:numPr>
    </w:pPr>
  </w:style>
  <w:style w:type="paragraph" w:styleId="ListNumber5">
    <w:name w:val="List Number 5"/>
    <w:basedOn w:val="List5"/>
    <w:rsid w:val="00F77E6B"/>
    <w:pPr>
      <w:numPr>
        <w:numId w:val="7"/>
      </w:numPr>
    </w:pPr>
  </w:style>
  <w:style w:type="paragraph" w:styleId="BlockText">
    <w:name w:val="Block Text"/>
    <w:basedOn w:val="Normal"/>
    <w:rsid w:val="00F77E6B"/>
    <w:pPr>
      <w:spacing w:after="120"/>
      <w:ind w:left="1440" w:right="1440"/>
    </w:pPr>
  </w:style>
  <w:style w:type="character" w:customStyle="1" w:styleId="Subscript">
    <w:name w:val="Subscript"/>
    <w:basedOn w:val="DefaultParagraphFont"/>
    <w:rsid w:val="00F77E6B"/>
    <w:rPr>
      <w:sz w:val="16"/>
      <w:vertAlign w:val="subscript"/>
    </w:rPr>
  </w:style>
  <w:style w:type="character" w:customStyle="1" w:styleId="Superscript">
    <w:name w:val="Superscript"/>
    <w:basedOn w:val="DefaultParagraphFont"/>
    <w:rsid w:val="00F77E6B"/>
    <w:rPr>
      <w:sz w:val="16"/>
      <w:vertAlign w:val="superscript"/>
    </w:rPr>
  </w:style>
  <w:style w:type="character" w:customStyle="1" w:styleId="Symbols">
    <w:name w:val="Symbols"/>
    <w:basedOn w:val="DefaultParagraphFont"/>
    <w:rsid w:val="00F77E6B"/>
    <w:rPr>
      <w:rFonts w:ascii="Symbol" w:hAnsi="Symbol"/>
    </w:rPr>
  </w:style>
  <w:style w:type="character" w:customStyle="1" w:styleId="MenuOptions">
    <w:name w:val="Menu Options"/>
    <w:basedOn w:val="DefaultParagraphFont"/>
    <w:rsid w:val="00F77E6B"/>
    <w:rPr>
      <w:rFonts w:ascii="Arial Narrow" w:hAnsi="Arial Narrow"/>
      <w:smallCaps/>
    </w:rPr>
  </w:style>
  <w:style w:type="character" w:customStyle="1" w:styleId="Buttons">
    <w:name w:val="Buttons"/>
    <w:basedOn w:val="DefaultParagraphFont"/>
    <w:rsid w:val="00F77E6B"/>
    <w:rPr>
      <w:b/>
    </w:rPr>
  </w:style>
  <w:style w:type="character" w:customStyle="1" w:styleId="Underlined">
    <w:name w:val="Underlined"/>
    <w:basedOn w:val="DefaultParagraphFont"/>
    <w:rsid w:val="00F77E6B"/>
    <w:rPr>
      <w:u w:val="single"/>
    </w:rPr>
  </w:style>
  <w:style w:type="paragraph" w:customStyle="1" w:styleId="TableBodyTextRight">
    <w:name w:val="Table Body Text Right"/>
    <w:basedOn w:val="TableBodyText"/>
    <w:rsid w:val="00F77E6B"/>
    <w:pPr>
      <w:widowControl w:val="0"/>
      <w:autoSpaceDE w:val="0"/>
      <w:autoSpaceDN w:val="0"/>
      <w:adjustRightInd w:val="0"/>
      <w:jc w:val="right"/>
    </w:pPr>
    <w:rPr>
      <w:rFonts w:cs="Arial"/>
      <w:szCs w:val="18"/>
    </w:rPr>
  </w:style>
  <w:style w:type="paragraph" w:customStyle="1" w:styleId="CopyrightText">
    <w:name w:val="Copyright Text"/>
    <w:basedOn w:val="BodyText"/>
    <w:rsid w:val="00F77E6B"/>
    <w:rPr>
      <w:sz w:val="18"/>
    </w:rPr>
  </w:style>
  <w:style w:type="paragraph" w:customStyle="1" w:styleId="BodySmallRight">
    <w:name w:val="Body Small Right"/>
    <w:basedOn w:val="BodyTextRight"/>
    <w:rsid w:val="00F77E6B"/>
    <w:rPr>
      <w:sz w:val="18"/>
      <w:szCs w:val="18"/>
    </w:rPr>
  </w:style>
  <w:style w:type="paragraph" w:customStyle="1" w:styleId="MarginEdition">
    <w:name w:val="Margin Edition"/>
    <w:basedOn w:val="MarginNote"/>
    <w:rsid w:val="00F77E6B"/>
    <w:pPr>
      <w:spacing w:before="0" w:after="0"/>
    </w:pPr>
    <w:rPr>
      <w:rFonts w:ascii="Times New Roman" w:hAnsi="Times New Roman"/>
      <w:color w:val="999999"/>
    </w:rPr>
  </w:style>
  <w:style w:type="paragraph" w:customStyle="1" w:styleId="Spacer">
    <w:name w:val="Spacer"/>
    <w:basedOn w:val="Normal"/>
    <w:rsid w:val="00F77E6B"/>
    <w:rPr>
      <w:sz w:val="2"/>
      <w:szCs w:val="2"/>
    </w:rPr>
  </w:style>
  <w:style w:type="character" w:customStyle="1" w:styleId="Small">
    <w:name w:val="Small"/>
    <w:basedOn w:val="DefaultParagraphFont"/>
    <w:rsid w:val="00F77E6B"/>
    <w:rPr>
      <w:sz w:val="16"/>
    </w:rPr>
  </w:style>
  <w:style w:type="paragraph" w:customStyle="1" w:styleId="WideTable">
    <w:name w:val="Wide Table"/>
    <w:basedOn w:val="Normal"/>
    <w:rsid w:val="00F77E6B"/>
    <w:pPr>
      <w:ind w:left="-1418"/>
    </w:pPr>
    <w:rPr>
      <w:sz w:val="2"/>
      <w:szCs w:val="2"/>
    </w:rPr>
  </w:style>
  <w:style w:type="character" w:styleId="PageNumber">
    <w:name w:val="page number"/>
    <w:basedOn w:val="DefaultParagraphFont"/>
    <w:rsid w:val="00F77E6B"/>
  </w:style>
  <w:style w:type="paragraph" w:styleId="Quote">
    <w:name w:val="Quote"/>
    <w:basedOn w:val="Heading1"/>
    <w:link w:val="QuoteChar"/>
    <w:qFormat/>
    <w:rsid w:val="00F77E6B"/>
    <w:rPr>
      <w:b w:val="0"/>
      <w:sz w:val="72"/>
      <w:szCs w:val="72"/>
      <w:lang w:val="en-NZ"/>
    </w:rPr>
  </w:style>
  <w:style w:type="character" w:customStyle="1" w:styleId="QuoteChar">
    <w:name w:val="Quote Char"/>
    <w:basedOn w:val="DefaultParagraphFont"/>
    <w:link w:val="Quote"/>
    <w:rsid w:val="00F77E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E6B"/>
    <w:pPr>
      <w:pageBreakBefore/>
    </w:pPr>
  </w:style>
  <w:style w:type="paragraph" w:customStyle="1" w:styleId="Border">
    <w:name w:val="Border"/>
    <w:basedOn w:val="Normal"/>
    <w:qFormat/>
    <w:rsid w:val="00F77E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E6B"/>
    <w:rPr>
      <w:b/>
      <w:bCs/>
      <w:i/>
      <w:iCs/>
      <w:color w:val="auto"/>
    </w:rPr>
  </w:style>
  <w:style w:type="paragraph" w:styleId="IntenseQuote">
    <w:name w:val="Intense Quote"/>
    <w:basedOn w:val="Normal"/>
    <w:next w:val="Normal"/>
    <w:link w:val="IntenseQuoteChar"/>
    <w:uiPriority w:val="30"/>
    <w:qFormat/>
    <w:rsid w:val="00F77E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E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E6B"/>
    <w:rPr>
      <w:smallCaps/>
      <w:color w:val="auto"/>
      <w:u w:val="single"/>
    </w:rPr>
  </w:style>
  <w:style w:type="character" w:styleId="IntenseReference">
    <w:name w:val="Intense Reference"/>
    <w:basedOn w:val="DefaultParagraphFont"/>
    <w:uiPriority w:val="32"/>
    <w:qFormat/>
    <w:rsid w:val="00F77E6B"/>
    <w:rPr>
      <w:b/>
      <w:bCs/>
      <w:smallCaps/>
      <w:color w:val="auto"/>
      <w:spacing w:val="5"/>
      <w:u w:val="single"/>
    </w:rPr>
  </w:style>
  <w:style w:type="paragraph" w:customStyle="1" w:styleId="2ColumnHeading">
    <w:name w:val="2Column Heading"/>
    <w:basedOn w:val="BodyText"/>
    <w:qFormat/>
    <w:rsid w:val="00F77E6B"/>
    <w:pPr>
      <w:spacing w:after="60"/>
      <w:ind w:left="-2268"/>
    </w:pPr>
    <w:rPr>
      <w:b/>
    </w:rPr>
  </w:style>
  <w:style w:type="paragraph" w:customStyle="1" w:styleId="Heading1TOC">
    <w:name w:val="Heading1 TOC"/>
    <w:basedOn w:val="Normal"/>
    <w:qFormat/>
    <w:rsid w:val="00F77E6B"/>
    <w:pPr>
      <w:spacing w:before="240" w:after="120"/>
    </w:pPr>
    <w:rPr>
      <w:rFonts w:ascii="Times New Roman" w:hAnsi="Times New Roman"/>
      <w:b/>
      <w:sz w:val="32"/>
    </w:rPr>
  </w:style>
  <w:style w:type="paragraph" w:customStyle="1" w:styleId="Heading2TOC">
    <w:name w:val="Heading2 TOC"/>
    <w:basedOn w:val="Normal"/>
    <w:qFormat/>
    <w:rsid w:val="00F77E6B"/>
    <w:pPr>
      <w:spacing w:before="240" w:after="60"/>
    </w:pPr>
    <w:rPr>
      <w:rFonts w:ascii="Times New Roman" w:hAnsi="Times New Roman"/>
      <w:b/>
      <w:sz w:val="28"/>
    </w:rPr>
  </w:style>
  <w:style w:type="character" w:customStyle="1" w:styleId="Underline">
    <w:name w:val="Underline"/>
    <w:basedOn w:val="DefaultParagraphFont"/>
    <w:qFormat/>
    <w:rsid w:val="00F77E6B"/>
    <w:rPr>
      <w:u w:val="single"/>
    </w:rPr>
  </w:style>
  <w:style w:type="paragraph" w:styleId="BalloonText">
    <w:name w:val="Balloon Text"/>
    <w:basedOn w:val="Normal"/>
    <w:link w:val="BalloonTextChar"/>
    <w:rsid w:val="00F77E6B"/>
    <w:rPr>
      <w:rFonts w:ascii="Tahoma" w:hAnsi="Tahoma" w:cs="Tahoma"/>
      <w:sz w:val="16"/>
      <w:szCs w:val="16"/>
    </w:rPr>
  </w:style>
  <w:style w:type="character" w:customStyle="1" w:styleId="BalloonTextChar">
    <w:name w:val="Balloon Text Char"/>
    <w:basedOn w:val="DefaultParagraphFont"/>
    <w:link w:val="BalloonText"/>
    <w:rsid w:val="00F77E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E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7E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E6B"/>
    <w:rPr>
      <w:b/>
      <w:color w:val="660033"/>
      <w:spacing w:val="0"/>
    </w:rPr>
  </w:style>
  <w:style w:type="paragraph" w:customStyle="1" w:styleId="Nameditemlist">
    <w:name w:val="Named item list"/>
    <w:basedOn w:val="BodyText"/>
    <w:qFormat/>
    <w:rsid w:val="00F77E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1551</Words>
  <Characters>10095</Characters>
  <Application>Microsoft Office Word</Application>
  <DocSecurity>0</DocSecurity>
  <Lines>296</Lines>
  <Paragraphs>179</Paragraphs>
  <ScaleCrop>false</ScaleCrop>
  <Company>Author-it Software Corporation Ltd.</Company>
  <LinksUpToDate>false</LinksUpToDate>
  <CharactersWithSpaces>11467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AURETR4040 Diagnose complex electrical and electronic faults in vehicle monitoring and protection systems</dc:title>
  <dc:subject>Approved</dc:subject>
  <dc:creator>TPCMS</dc:creator>
  <cp:keywords>Release:</cp:keywords>
  <dc:description>Copyright © 1996-2007 Author-it Software Corporation Ltd., all rights reserved.</dc:description>
  <cp:lastModifiedBy>TPCMS</cp:lastModifiedBy>
  <cp:revision>3</cp:revision>
  <dcterms:created xsi:type="dcterms:W3CDTF">2013-01-15T09:23:00Z</dcterms:created>
  <dcterms:modified xsi:type="dcterms:W3CDTF">2013-01-15T09:23:00Z</dcterms:modified>
</cp:coreProperties>
</file>