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D46" w:rsidP="00AB4D46">
      <w:pPr>
        <w:pStyle w:val="Title"/>
      </w:pPr>
      <w:r>
        <w:fldChar w:fldCharType="begin"/>
      </w:r>
      <w:r>
        <w:instrText xml:space="preserve"> TITLE   \* MERGEFORMAT </w:instrText>
      </w:r>
      <w:r>
        <w:fldChar w:fldCharType="separate"/>
      </w:r>
      <w:r>
        <w:t>AURATA2002 Read and interpret engineering drawings</w:t>
      </w:r>
      <w:r>
        <w:fldChar w:fldCharType="end"/>
      </w:r>
    </w:p>
    <w:p w:rsidR="00AB4D46" w:rsidP="00AB4D46">
      <w:pPr>
        <w:pStyle w:val="Version"/>
        <w:sectPr w:rsidSect="001C5A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AAF" w:rsidP="001C5AAF">
      <w:pPr>
        <w:pStyle w:val="SuperHeading"/>
      </w:pPr>
      <w:r w:rsidRPr="001C5AAF">
        <w:t>AURATA2002 Read and interpret engineering drawings</w:t>
      </w:r>
    </w:p>
    <w:p w:rsidR="00000000" w:rsidRPr="001C5AAF" w:rsidP="001C5AAF">
      <w:pPr>
        <w:pStyle w:val="Heading1"/>
      </w:pPr>
      <w:bookmarkStart w:id="1" w:name="O_481349"/>
      <w:bookmarkEnd w:id="1"/>
      <w:r w:rsidRPr="001C5AAF">
        <w:t>Modification History</w:t>
      </w:r>
    </w:p>
    <w:tbl>
      <w:tblPr>
        <w:tblW w:w="9637" w:type="dxa"/>
        <w:tblLayout w:type="fixed"/>
        <w:tblCellMar>
          <w:left w:w="62" w:type="dxa"/>
          <w:right w:w="62" w:type="dxa"/>
        </w:tblCellMar>
        <w:tblLook w:val="0000"/>
      </w:tblPr>
      <w:tblGrid>
        <w:gridCol w:w="2976"/>
        <w:gridCol w:w="6661"/>
      </w:tblGrid>
      <w:tr w:rsidTr="00AB4D4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Comment</w:t>
            </w:r>
          </w:p>
        </w:tc>
      </w:tr>
      <w:tr w:rsidTr="00AB4D4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 xml:space="preserve">ReplacesAURT225156A Read and interpret engineering drawings </w:t>
            </w:r>
          </w:p>
          <w:p w:rsidR="00000000" w:rsidRPr="001C5AAF" w:rsidP="001C5AAF">
            <w:pPr>
              <w:pStyle w:val="BodyText"/>
            </w:pPr>
            <w:r w:rsidRPr="001C5AAF">
              <w:t>Unit code updated to meet policy requirements.</w:t>
            </w:r>
          </w:p>
          <w:p w:rsidR="00000000" w:rsidRPr="001C5AAF" w:rsidP="001C5AAF">
            <w:pPr>
              <w:pStyle w:val="BodyText"/>
            </w:pPr>
            <w:r w:rsidRPr="001C5AAF">
              <w:t>Reference to OHS legislation replaced with new WHS legislation</w:t>
            </w:r>
          </w:p>
          <w:p w:rsidR="00000000" w:rsidRPr="001C5AAF" w:rsidP="001C5AAF">
            <w:pPr>
              <w:pStyle w:val="BodyText"/>
            </w:pPr>
            <w:r w:rsidRPr="001C5AAF">
              <w:t xml:space="preserve">Licensing statement added to </w:t>
            </w:r>
            <w:r w:rsidRPr="001C5AAF">
              <w:t>unit descriptor</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2" w:name="O_481347"/>
      <w:bookmarkEnd w:id="2"/>
      <w:r w:rsidRPr="001C5AAF">
        <w:t>Unit Descriptor</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This unit covers the competence to read and interpret engineering drawings applicable to an automotive environment.</w:t>
            </w:r>
          </w:p>
          <w:p w:rsidR="00000000" w:rsidRPr="001C5AAF" w:rsidP="001C5AAF">
            <w:pPr>
              <w:pStyle w:val="BodyText"/>
            </w:pPr>
            <w:r w:rsidRPr="001C5AAF">
              <w:t>Licensing, legislative, regulatory or certification requirements may apply to this unit in some jurisdictions. Users are advised to check with the relevant regulatory authority.</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3" w:name="O_481335"/>
      <w:bookmarkEnd w:id="3"/>
      <w:r w:rsidRPr="001C5AAF">
        <w:t>Application of the Unit</w:t>
      </w:r>
    </w:p>
    <w:tbl>
      <w:tblPr>
        <w:tblW w:w="0" w:type="auto"/>
        <w:tblLayout w:type="fixed"/>
        <w:tblCellMar>
          <w:left w:w="62" w:type="dxa"/>
          <w:right w:w="62" w:type="dxa"/>
        </w:tblCellMar>
        <w:tblLook w:val="0000"/>
      </w:tblPr>
      <w:tblGrid>
        <w:gridCol w:w="2750"/>
        <w:gridCol w:w="5772"/>
      </w:tblGrid>
      <w:tr w:rsidTr="00AB4D4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This unit c</w:t>
            </w:r>
            <w:r w:rsidRPr="001C5AAF">
              <w:t>overs reading and interpretation of engineering drawings applicable to manufacturing or modification of components in an automotive environment.</w:t>
            </w:r>
          </w:p>
          <w:p w:rsidR="00000000" w:rsidRPr="001C5AAF" w:rsidP="001C5AAF">
            <w:pPr>
              <w:pStyle w:val="BodyText"/>
            </w:pPr>
            <w:r w:rsidRPr="001C5AAF">
              <w:t xml:space="preserve">Work requires individuals to demonstrate discretion, judgement and problem-solving skills in managing own work </w:t>
            </w:r>
            <w:r w:rsidRPr="001C5AAF">
              <w:t>activities and contributing to a productive team environment.</w:t>
            </w:r>
          </w:p>
          <w:p w:rsidR="00000000" w:rsidRPr="001C5AAF" w:rsidP="001C5AAF">
            <w:pPr>
              <w:pStyle w:val="BodyText"/>
            </w:pPr>
            <w:r w:rsidRPr="001C5AAF">
              <w:t>Work is carried out in accordance with award provisions.</w:t>
            </w:r>
          </w:p>
        </w:tc>
      </w:tr>
    </w:tbl>
    <w:p w:rsidR="00AB4D46" w:rsidP="001C5AAF">
      <w:pPr>
        <w:pStyle w:val="BodyText"/>
      </w:pPr>
    </w:p>
    <w:p w:rsidR="00AB4D46" w:rsidP="001C5AAF">
      <w:pPr>
        <w:pStyle w:val="BodyText"/>
      </w:pPr>
    </w:p>
    <w:p w:rsidR="00000000" w:rsidRPr="001C5AAF" w:rsidP="001C5AAF">
      <w:pPr>
        <w:pStyle w:val="Heading1"/>
      </w:pPr>
      <w:bookmarkStart w:id="4" w:name="O_481343"/>
      <w:bookmarkEnd w:id="4"/>
      <w:r w:rsidRPr="001C5AAF">
        <w:t>Licensing/Regulatory Information</w:t>
      </w:r>
    </w:p>
    <w:p w:rsidR="00000000" w:rsidRPr="001C5AAF" w:rsidP="001C5AAF">
      <w:pPr>
        <w:pStyle w:val="BodyText"/>
      </w:pPr>
      <w:r w:rsidRPr="001C5AAF">
        <w:t>Not applicable.</w:t>
      </w:r>
    </w:p>
    <w:p w:rsidR="00000000" w:rsidRPr="001C5AAF" w:rsidP="001C5AAF">
      <w:pPr>
        <w:pStyle w:val="AllowPageBreak"/>
      </w:pPr>
    </w:p>
    <w:p w:rsidR="00000000" w:rsidRPr="001C5AAF" w:rsidP="001C5AAF">
      <w:pPr>
        <w:pStyle w:val="Heading1"/>
      </w:pPr>
      <w:bookmarkStart w:id="5" w:name="O_481344"/>
      <w:bookmarkEnd w:id="5"/>
      <w:r w:rsidRPr="001C5AAF">
        <w:t>Pre-Requisites</w:t>
      </w:r>
    </w:p>
    <w:p w:rsidR="00000000" w:rsidRPr="001C5AAF" w:rsidP="001C5AAF">
      <w:pPr>
        <w:pStyle w:val="BodyText"/>
      </w:pPr>
      <w:r w:rsidRPr="001C5AAF">
        <w:t>Not applicable.</w:t>
      </w:r>
    </w:p>
    <w:p w:rsidR="00000000" w:rsidRPr="001C5AAF" w:rsidP="001C5AAF">
      <w:pPr>
        <w:pStyle w:val="AllowPageBreak"/>
      </w:pPr>
    </w:p>
    <w:p w:rsidR="00000000" w:rsidRPr="001C5AAF" w:rsidP="001C5AAF">
      <w:pPr>
        <w:pStyle w:val="Heading1"/>
      </w:pPr>
      <w:bookmarkStart w:id="6" w:name="O_481340"/>
      <w:bookmarkEnd w:id="6"/>
      <w:r w:rsidRPr="001C5AAF">
        <w:t>Employability Skills Information</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This unit contains employability skills.</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7" w:name="O_481339"/>
      <w:bookmarkEnd w:id="7"/>
      <w:r w:rsidRPr="001C5AAF">
        <w:t>Elements and Performance Criteria Pre-Content</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 xml:space="preserve">Performance criteria describe </w:t>
            </w:r>
            <w:r w:rsidRPr="001C5AAF">
              <w:t>the required performance needed to demonstrate achievement of the element. Where bold italicised text is used, further information is detailed in the required skills and knowledge and/or the range statement. Assessment of performance is to be consistent wi</w:t>
            </w:r>
            <w:r w:rsidRPr="001C5AAF">
              <w:t>th the evidence guide.</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8" w:name="O_481338"/>
      <w:bookmarkEnd w:id="8"/>
      <w:r w:rsidRPr="001C5AAF">
        <w:t>Elements and Performance Criteria</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PERFORMANCE CRITERIA</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List"/>
              <w:rPr>
                <w:lang w:val="en-NZ"/>
              </w:rPr>
            </w:pPr>
            <w:r w:rsidRPr="001C5AAF">
              <w:t>1.</w:t>
            </w:r>
            <w:r w:rsidRPr="001C5AAF">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List2"/>
            </w:pPr>
            <w:r w:rsidRPr="001C5AAF">
              <w:t>1.1.</w:t>
            </w:r>
            <w:r w:rsidRPr="001C5AAF">
              <w:tab/>
              <w:t xml:space="preserve">Work instructions are used to determine job requirements </w:t>
            </w:r>
          </w:p>
          <w:p w:rsidR="00000000" w:rsidRPr="001C5AAF" w:rsidP="001C5AAF">
            <w:pPr>
              <w:pStyle w:val="List2"/>
            </w:pPr>
            <w:r w:rsidRPr="001C5AAF">
              <w:t>1.2.</w:t>
            </w:r>
            <w:r w:rsidRPr="001C5AAF">
              <w:tab/>
              <w:t>Job specifications are read and interpreted</w:t>
            </w:r>
          </w:p>
          <w:p w:rsidR="00000000" w:rsidRPr="001C5AAF" w:rsidP="001C5AAF">
            <w:pPr>
              <w:pStyle w:val="List2"/>
            </w:pPr>
            <w:r w:rsidRPr="001C5AAF">
              <w:t>1.3.</w:t>
            </w:r>
            <w:r w:rsidRPr="001C5AAF">
              <w:tab/>
            </w:r>
            <w:r w:rsidRPr="001C5AAF">
              <w:t>Product/system/component/item to be manufactured/modified is identified</w:t>
            </w:r>
          </w:p>
          <w:p w:rsidR="00000000" w:rsidRPr="001C5AAF" w:rsidP="001C5AAF">
            <w:pPr>
              <w:pStyle w:val="List2"/>
            </w:pPr>
            <w:r w:rsidRPr="001C5AAF">
              <w:t>1.4.</w:t>
            </w:r>
            <w:r w:rsidRPr="001C5AAF">
              <w:tab/>
              <w:t>Engineering drawings are selected relevant to information required</w:t>
            </w:r>
          </w:p>
          <w:p w:rsidR="00000000" w:rsidRPr="001C5AAF" w:rsidP="001C5AAF">
            <w:pPr>
              <w:pStyle w:val="List2"/>
            </w:pPr>
            <w:r w:rsidRPr="001C5AAF">
              <w:t>1.5.</w:t>
            </w:r>
            <w:r w:rsidRPr="001C5AAF">
              <w:tab/>
              <w:t>WHS requirements, including personal protection needs observed throughout the work</w:t>
            </w:r>
          </w:p>
          <w:p w:rsidR="00000000" w:rsidP="001C5AAF">
            <w:pPr>
              <w:pStyle w:val="List2"/>
              <w:rPr>
                <w:lang w:val="en-NZ"/>
              </w:rPr>
            </w:pPr>
            <w:r w:rsidRPr="001C5AAF">
              <w:t>1.6.</w:t>
            </w:r>
            <w:r w:rsidRPr="001C5AAF">
              <w:tab/>
              <w:t>Correct equipment i</w:t>
            </w:r>
            <w:r w:rsidRPr="001C5AAF">
              <w:t>s identified and checked for safe use</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List"/>
              <w:rPr>
                <w:lang w:val="en-NZ"/>
              </w:rPr>
            </w:pPr>
            <w:r w:rsidRPr="001C5AAF">
              <w:t>2.</w:t>
            </w:r>
            <w:r w:rsidRPr="001C5AAF">
              <w:tab/>
              <w:t>Read and interpret engineering drawings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List2"/>
            </w:pPr>
            <w:r w:rsidRPr="001C5AAF">
              <w:t>2.1.</w:t>
            </w:r>
            <w:r w:rsidRPr="001C5AAF">
              <w:tab/>
              <w:t>Symbols, codes, legends and diagrammatic representations are correctly identified</w:t>
            </w:r>
          </w:p>
          <w:p w:rsidR="00000000" w:rsidRPr="001C5AAF" w:rsidP="001C5AAF">
            <w:pPr>
              <w:pStyle w:val="List2"/>
            </w:pPr>
            <w:r w:rsidRPr="001C5AAF">
              <w:t>2.2.</w:t>
            </w:r>
            <w:r w:rsidRPr="001C5AAF">
              <w:tab/>
              <w:t>Material specifications/finish and dimensions/tolerances are identified</w:t>
            </w:r>
          </w:p>
          <w:p w:rsidR="00000000" w:rsidP="001C5AAF">
            <w:pPr>
              <w:pStyle w:val="List2"/>
              <w:rPr>
                <w:lang w:val="en-NZ"/>
              </w:rPr>
            </w:pPr>
            <w:r w:rsidRPr="001C5AAF">
              <w:t>2.3.</w:t>
            </w:r>
            <w:r w:rsidRPr="001C5AAF">
              <w:tab/>
              <w:t>Produ</w:t>
            </w:r>
            <w:r w:rsidRPr="001C5AAF">
              <w:t>ct/system/component/item represented by the drawing is correctly identified</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List"/>
              <w:rPr>
                <w:lang w:val="en-NZ"/>
              </w:rPr>
            </w:pPr>
            <w:r w:rsidRPr="001C5AAF">
              <w:t>3.</w:t>
            </w:r>
            <w:r w:rsidRPr="001C5AAF">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List2"/>
            </w:pPr>
            <w:r w:rsidRPr="001C5AAF">
              <w:t>3.1.</w:t>
            </w:r>
            <w:r w:rsidRPr="001C5AAF">
              <w:tab/>
              <w:t>Equipment and work area are cleaned and inspected for serviceable condition in accordance with workplace procedures</w:t>
            </w:r>
          </w:p>
          <w:p w:rsidR="00000000" w:rsidRPr="001C5AAF" w:rsidP="001C5AAF">
            <w:pPr>
              <w:pStyle w:val="List2"/>
            </w:pPr>
            <w:r w:rsidRPr="001C5AAF">
              <w:t>3.2.</w:t>
            </w:r>
            <w:r w:rsidRPr="001C5AAF">
              <w:tab/>
            </w:r>
            <w:r w:rsidRPr="001C5AAF">
              <w:t>Unserviceable equipment is tagged and faults identified in accordance with workplace procedures</w:t>
            </w:r>
          </w:p>
          <w:p w:rsidR="00000000" w:rsidRPr="001C5AAF" w:rsidP="001C5AAF">
            <w:pPr>
              <w:pStyle w:val="List2"/>
            </w:pPr>
            <w:r w:rsidRPr="001C5AAF">
              <w:t>3.3.</w:t>
            </w:r>
            <w:r w:rsidRPr="001C5AAF">
              <w:tab/>
              <w:t>Operator maintenance is completed in accordance with manufacturer/component supplier specifications and site procedures</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9" w:name="O_481346"/>
      <w:bookmarkEnd w:id="9"/>
      <w:r w:rsidRPr="001C5AAF">
        <w:t xml:space="preserve">Required Skills </w:t>
      </w:r>
      <w:r w:rsidRPr="001C5AAF">
        <w:t>and Knowledge</w:t>
      </w:r>
    </w:p>
    <w:tbl>
      <w:tblPr>
        <w:tblW w:w="9639" w:type="dxa"/>
        <w:tblLayout w:type="fixed"/>
        <w:tblCellMar>
          <w:left w:w="62" w:type="dxa"/>
          <w:right w:w="62" w:type="dxa"/>
        </w:tblCellMar>
        <w:tblLook w:val="0000"/>
      </w:tblPr>
      <w:tblGrid>
        <w:gridCol w:w="9639"/>
      </w:tblGrid>
      <w:tr w:rsidTr="00AB4D4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REQUIRED SKILLS AND KNOWLEDGE</w:t>
            </w:r>
          </w:p>
        </w:tc>
      </w:tr>
      <w:tr w:rsidTr="00AB4D4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This section describes the skills and knowledge required for this unit.</w:t>
            </w:r>
          </w:p>
        </w:tc>
      </w:tr>
      <w:tr w:rsidTr="00AB4D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Required skills</w:t>
            </w:r>
          </w:p>
        </w:tc>
      </w:tr>
      <w:tr w:rsidTr="00AB4D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ListBullet"/>
            </w:pPr>
            <w:r w:rsidRPr="001C5AAF">
              <w:t xml:space="preserve">collect, organise and understand information related to work orders, plans and safety </w:t>
            </w:r>
            <w:r w:rsidRPr="001C5AAF">
              <w:t>procedures for viewing engineering drawings</w:t>
            </w:r>
          </w:p>
          <w:p w:rsidR="00000000" w:rsidRPr="001C5AAF" w:rsidP="001C5AAF">
            <w:pPr>
              <w:pStyle w:val="ListBullet"/>
            </w:pPr>
            <w:r w:rsidRPr="001C5AAF">
              <w:t>communicate ideas and information to enable confirmation of work requirements and specifications, coordination of work with site supervisor, other workers and customers, and the reporting of work outcomes and pro</w:t>
            </w:r>
            <w:r w:rsidRPr="001C5AAF">
              <w:t>blems</w:t>
            </w:r>
          </w:p>
          <w:p w:rsidR="00000000" w:rsidRPr="001C5AAF" w:rsidP="001C5AAF">
            <w:pPr>
              <w:pStyle w:val="ListBullet"/>
            </w:pPr>
            <w:r w:rsidRPr="001C5AAF">
              <w:t>plan and organise activities, including the preparation and layout of the worksite and obtaining of equipment and drawing versions to avoid backtracking, workflow interruptions or time wastage</w:t>
            </w:r>
          </w:p>
          <w:p w:rsidR="00000000" w:rsidRPr="001C5AAF" w:rsidP="001C5AAF">
            <w:pPr>
              <w:pStyle w:val="ListBullet"/>
            </w:pPr>
            <w:r w:rsidRPr="001C5AAF">
              <w:t>work with others and in a team by recognising dependencie</w:t>
            </w:r>
            <w:r w:rsidRPr="001C5AAF">
              <w:t>s and using cooperative approaches to optimise workflow and productivity</w:t>
            </w:r>
          </w:p>
          <w:p w:rsidR="00000000" w:rsidRPr="001C5AAF" w:rsidP="001C5AAF">
            <w:pPr>
              <w:pStyle w:val="ListBullet"/>
            </w:pPr>
            <w:r w:rsidRPr="001C5AAF">
              <w:t>use mathematical ideas and techniques to correctly interpret drawing specifications</w:t>
            </w:r>
          </w:p>
          <w:p w:rsidR="00000000" w:rsidRPr="001C5AAF" w:rsidP="001C5AAF">
            <w:pPr>
              <w:pStyle w:val="ListBullet"/>
            </w:pPr>
            <w:r w:rsidRPr="001C5AAF">
              <w:t>use pre-checking and inspection techniques to anticipate planning and scheduling problems and avoid</w:t>
            </w:r>
            <w:r w:rsidRPr="001C5AAF">
              <w:t xml:space="preserve"> wastage of time</w:t>
            </w:r>
          </w:p>
          <w:p w:rsidR="00000000" w:rsidP="001C5AAF">
            <w:pPr>
              <w:pStyle w:val="ListBullet"/>
              <w:rPr>
                <w:lang w:val="en-NZ"/>
              </w:rPr>
            </w:pPr>
            <w:r w:rsidRPr="001C5AAF">
              <w:t>use workplace technology related to the reading and interpretation of engineering drawings, including the use of specialist tooling, measuring equipment, computerised technology and communication devices and the reporting/ documenting of results</w:t>
            </w:r>
          </w:p>
        </w:tc>
      </w:tr>
      <w:tr w:rsidTr="00AB4D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 xml:space="preserve">Required </w:t>
            </w:r>
            <w:r w:rsidRPr="001C5AAF">
              <w:rPr>
                <w:rStyle w:val="SpecialBold"/>
              </w:rPr>
              <w:t>knowledge</w:t>
            </w:r>
          </w:p>
        </w:tc>
      </w:tr>
      <w:tr w:rsidTr="00AB4D4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A working knowledge of:</w:t>
            </w:r>
          </w:p>
          <w:p w:rsidR="00000000" w:rsidRPr="001C5AAF" w:rsidP="001C5AAF">
            <w:pPr>
              <w:pStyle w:val="ListBullet"/>
            </w:pPr>
            <w:r w:rsidRPr="001C5AAF">
              <w:t>WHS and environmental regulations/requirements, equipment, material and personal safety requirements</w:t>
            </w:r>
          </w:p>
          <w:p w:rsidR="00000000" w:rsidRPr="001C5AAF" w:rsidP="001C5AAF">
            <w:pPr>
              <w:pStyle w:val="ListBullet"/>
            </w:pPr>
            <w:r w:rsidRPr="001C5AAF">
              <w:t>common automotive terminology, symbols, codes, legends and diagrammatic representations</w:t>
            </w:r>
          </w:p>
          <w:p w:rsidR="00000000" w:rsidRPr="001C5AAF" w:rsidP="001C5AAF">
            <w:pPr>
              <w:pStyle w:val="ListBullet"/>
            </w:pPr>
            <w:r w:rsidRPr="001C5AAF">
              <w:t>ISO standards and/or Australian</w:t>
            </w:r>
            <w:r w:rsidRPr="001C5AAF">
              <w:t xml:space="preserve"> Design Rules and equipment safety requirements</w:t>
            </w:r>
          </w:p>
          <w:p w:rsidR="00000000" w:rsidRPr="001C5AAF" w:rsidP="001C5AAF">
            <w:pPr>
              <w:pStyle w:val="ListBullet"/>
            </w:pPr>
            <w:r w:rsidRPr="001C5AAF">
              <w:t>design theory and its application to the workplace</w:t>
            </w:r>
          </w:p>
          <w:p w:rsidR="00000000" w:rsidRPr="001C5AAF" w:rsidP="001C5AAF">
            <w:pPr>
              <w:pStyle w:val="ListBullet"/>
            </w:pPr>
            <w:r w:rsidRPr="001C5AAF">
              <w:t>engineering drawing procedures and interpretive techniques</w:t>
            </w:r>
          </w:p>
          <w:p w:rsidR="00000000" w:rsidRPr="001C5AAF" w:rsidP="001C5AAF">
            <w:pPr>
              <w:pStyle w:val="ListBullet"/>
            </w:pPr>
            <w:r w:rsidRPr="001C5AAF">
              <w:t>site reporting procedures</w:t>
            </w:r>
          </w:p>
          <w:p w:rsidR="00000000" w:rsidRPr="001C5AAF" w:rsidP="001C5AAF">
            <w:pPr>
              <w:pStyle w:val="ListBullet"/>
            </w:pPr>
            <w:r w:rsidRPr="001C5AAF">
              <w:t>work organisation and planning processes</w:t>
            </w:r>
          </w:p>
          <w:p w:rsidR="00000000" w:rsidRPr="001C5AAF" w:rsidP="001C5AAF">
            <w:pPr>
              <w:pStyle w:val="ListBullet"/>
            </w:pPr>
            <w:r w:rsidRPr="001C5AAF">
              <w:t>enterprise quality processes</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10" w:name="O_481341"/>
      <w:bookmarkEnd w:id="10"/>
      <w:r w:rsidRPr="001C5AAF">
        <w:t>Evidence Guide</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EVIDENCE GUIDE</w:t>
            </w:r>
          </w:p>
        </w:tc>
      </w:tr>
      <w:tr w:rsidTr="00AB4D4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The evidence guide provides advice on assessment and must be read in conjunction with the performance criteria, required skills and knowledge, range statement and the Assessment Guidelines for the Training P</w:t>
            </w:r>
            <w:r w:rsidRPr="001C5AAF">
              <w:t>ackage.</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It is essential that competence in this unit signifies ability to transfer competence to changing circumstances and to respond to unusual circumstances in the critical aspects of:</w:t>
            </w:r>
          </w:p>
          <w:p w:rsidR="00000000" w:rsidRPr="001C5AAF" w:rsidP="001C5AAF">
            <w:pPr>
              <w:pStyle w:val="ListBullet"/>
            </w:pPr>
            <w:r w:rsidRPr="001C5AAF">
              <w:t>observing safety procedures and requirements</w:t>
            </w:r>
          </w:p>
          <w:p w:rsidR="00000000" w:rsidRPr="001C5AAF" w:rsidP="001C5AAF">
            <w:pPr>
              <w:pStyle w:val="ListBullet"/>
            </w:pPr>
            <w:r w:rsidRPr="001C5AAF">
              <w:t>communicating effectively with</w:t>
            </w:r>
            <w:r w:rsidRPr="001C5AAF">
              <w:t xml:space="preserve"> others involved in or affected by the work</w:t>
            </w:r>
          </w:p>
          <w:p w:rsidR="00000000" w:rsidRPr="001C5AAF" w:rsidP="001C5AAF">
            <w:pPr>
              <w:pStyle w:val="ListBullet"/>
            </w:pPr>
            <w:r w:rsidRPr="001C5AAF">
              <w:t>selecting methods and techniques appropriate to the circumstances</w:t>
            </w:r>
          </w:p>
          <w:p w:rsidR="00000000" w:rsidRPr="001C5AAF" w:rsidP="001C5AAF">
            <w:pPr>
              <w:pStyle w:val="ListBullet"/>
            </w:pPr>
            <w:r w:rsidRPr="001C5AAF">
              <w:t>completing preparatory activity in a systematic manner</w:t>
            </w:r>
          </w:p>
          <w:p w:rsidR="00000000" w:rsidP="001C5AAF">
            <w:pPr>
              <w:pStyle w:val="ListBullet"/>
              <w:rPr>
                <w:lang w:val="en-NZ"/>
              </w:rPr>
            </w:pPr>
            <w:r w:rsidRPr="001C5AAF">
              <w:t>reading and interpreting a range of engineering drawings covering both component manufactur</w:t>
            </w:r>
            <w:r w:rsidRPr="001C5AAF">
              <w:t>ing and modification</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Context of</w:t>
            </w:r>
            <w:r w:rsidRPr="001C5AAF">
              <w:t xml:space="preserve">, </w:t>
            </w:r>
            <w:r w:rsidRPr="001C5AAF">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Application of competence is to be assessed in the workplace or simulated worksite</w:t>
            </w:r>
          </w:p>
          <w:p w:rsidR="00000000" w:rsidRPr="001C5AAF" w:rsidP="001C5AAF">
            <w:pPr>
              <w:pStyle w:val="BodyText"/>
            </w:pPr>
            <w:r w:rsidRPr="001C5AAF">
              <w:t>Assessment is to occur using standard and authorised work practices, safety requirements and environm</w:t>
            </w:r>
            <w:r w:rsidRPr="001C5AAF">
              <w:t>ental constraints</w:t>
            </w:r>
          </w:p>
          <w:p w:rsidR="00000000" w:rsidRPr="001C5AAF" w:rsidP="001C5AAF">
            <w:pPr>
              <w:pStyle w:val="BodyText"/>
            </w:pPr>
            <w:r w:rsidRPr="001C5AAF">
              <w:t>Assessment is to comply with regulatory requirements, including Australian Standards</w:t>
            </w:r>
          </w:p>
          <w:p w:rsidR="00000000" w:rsidRPr="001C5AAF" w:rsidP="001C5AAF">
            <w:pPr>
              <w:pStyle w:val="BodyText"/>
            </w:pPr>
            <w:r w:rsidRPr="001C5AAF">
              <w:t>The following resources should be made available:</w:t>
            </w:r>
          </w:p>
          <w:p w:rsidR="00000000" w:rsidRPr="001C5AAF" w:rsidP="001C5AAF">
            <w:pPr>
              <w:pStyle w:val="ListBullet"/>
            </w:pPr>
            <w:r w:rsidRPr="001C5AAF">
              <w:t>workplace location or simulated workplace</w:t>
            </w:r>
          </w:p>
          <w:p w:rsidR="00000000" w:rsidRPr="001C5AAF" w:rsidP="001C5AAF">
            <w:pPr>
              <w:pStyle w:val="ListBullet"/>
            </w:pPr>
            <w:r w:rsidRPr="001C5AAF">
              <w:t>material relevant to the reading and interpretation of engin</w:t>
            </w:r>
            <w:r w:rsidRPr="001C5AAF">
              <w:t>eering drawings</w:t>
            </w:r>
          </w:p>
          <w:p w:rsidR="00000000" w:rsidRPr="001C5AAF" w:rsidP="001C5AAF">
            <w:pPr>
              <w:pStyle w:val="ListBullet"/>
            </w:pPr>
            <w:r w:rsidRPr="001C5AAF">
              <w:t>equipment, hand and power tooling appropriate to the reading and interpretation of engineering drawings</w:t>
            </w:r>
          </w:p>
          <w:p w:rsidR="00000000" w:rsidRPr="001C5AAF" w:rsidP="001C5AAF">
            <w:pPr>
              <w:pStyle w:val="ListBullet"/>
            </w:pPr>
            <w:r w:rsidRPr="001C5AAF">
              <w:t>activities covering mandatory task requirements</w:t>
            </w:r>
          </w:p>
          <w:p w:rsidR="00000000" w:rsidP="001C5AAF">
            <w:pPr>
              <w:pStyle w:val="ListBullet"/>
              <w:rPr>
                <w:lang w:val="en-NZ"/>
              </w:rPr>
            </w:pPr>
            <w:r w:rsidRPr="001C5AAF">
              <w:t>specifications and work instructions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Assessment must satisfy</w:t>
            </w:r>
            <w:r w:rsidRPr="001C5AAF">
              <w:t xml:space="preserve"> the endorsed assessment guidelines of the automotive industry's RS&amp;R Training Package</w:t>
            </w:r>
          </w:p>
          <w:p w:rsidR="00000000" w:rsidRPr="001C5AAF" w:rsidP="001C5AAF">
            <w:pPr>
              <w:pStyle w:val="BodyText"/>
            </w:pPr>
            <w:r w:rsidRPr="001C5AAF">
              <w:t>Assessment methods must confirm consistency and accuracy of performance together with application of underpinning knowledge</w:t>
            </w:r>
          </w:p>
          <w:p w:rsidR="00000000" w:rsidRPr="001C5AAF" w:rsidP="001C5AAF">
            <w:pPr>
              <w:pStyle w:val="BodyText"/>
            </w:pPr>
            <w:r w:rsidRPr="001C5AAF">
              <w:t>Assessment must be by direct observation of t</w:t>
            </w:r>
            <w:r w:rsidRPr="001C5AAF">
              <w:t>asks, with questioning on underpinning knowledge and it must also reinforce the integration of key competencies</w:t>
            </w:r>
          </w:p>
          <w:p w:rsidR="00000000" w:rsidRPr="001C5AAF" w:rsidP="001C5AAF">
            <w:pPr>
              <w:pStyle w:val="BodyText"/>
            </w:pPr>
            <w:r w:rsidRPr="001C5AAF">
              <w:t>Assessment may be applied under project related conditions and require evidence of process</w:t>
            </w:r>
          </w:p>
          <w:p w:rsidR="00000000" w:rsidRPr="001C5AAF" w:rsidP="001C5AAF">
            <w:pPr>
              <w:pStyle w:val="BodyText"/>
            </w:pPr>
            <w:r w:rsidRPr="001C5AAF">
              <w:t>Assessment must confirm a reasonable inference that c</w:t>
            </w:r>
            <w:r w:rsidRPr="001C5AAF">
              <w:t>ompetence is able not only to be satisfied under the particular circumstance, but is able to be transferred to other circumstances</w:t>
            </w:r>
          </w:p>
          <w:p w:rsidR="00000000" w:rsidRPr="001C5AAF" w:rsidP="001C5AAF">
            <w:pPr>
              <w:pStyle w:val="BodyText"/>
            </w:pPr>
            <w:r w:rsidRPr="001C5AAF">
              <w:t>It is preferable that assessment reflects a process rather than an event and occurs over a period of time to cover varying qu</w:t>
            </w:r>
            <w:r w:rsidRPr="001C5AAF">
              <w:t>ality circumstances. Evidence of performance may be provided by customers, team leaders/members or other persons subject to agreed authentication arrangements</w:t>
            </w:r>
          </w:p>
          <w:p w:rsidR="00000000" w:rsidRPr="001C5AAF" w:rsidP="001C5AAF">
            <w:pPr>
              <w:pStyle w:val="BodyText"/>
            </w:pPr>
            <w:r w:rsidRPr="001C5AAF">
              <w:t>Competence in this unit may be assessed in conjunction with other functional units which together</w:t>
            </w:r>
            <w:r w:rsidRPr="001C5AAF">
              <w:t xml:space="preserve"> form part of the holistic work role</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11" w:name="O_481345"/>
      <w:bookmarkEnd w:id="11"/>
      <w:r w:rsidRPr="001C5AAF">
        <w:t>Range Statement</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RANGE STATEMENT</w:t>
            </w:r>
          </w:p>
        </w:tc>
      </w:tr>
      <w:tr w:rsidTr="00AB4D4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 xml:space="preserve">The range statement relates to the unit of competency as a whole. It allows for different work environments and situations that may affect </w:t>
            </w:r>
            <w:r w:rsidRPr="001C5AAF">
              <w:t>performance. Bold italicised wording, if used in the performance criteria, is detailed below. Essential operating conditions that may be present with training and assessment (depending on the work situation, needs of the candidate, accessibility of the ite</w:t>
            </w:r>
            <w:r w:rsidRPr="001C5AAF">
              <w:t>m, and local industry and regional contexts) may also be included.</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Methods of identification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Methods are to include identification of symbols, codes, legends and diagrammatic representations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Interpretation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Interpretation of manufacture/modification specifications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WHS requirements are to be in accordance with legislation/regulations/codes of practice and enterprise safety policies and procedures. This may include protective clothing and equipment, workpl</w:t>
            </w:r>
            <w:r w:rsidRPr="001C5AAF">
              <w:t>ace environment and safety and enterprise first aid</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Personal protective equipment is to include that prescribed under legislation/regulations/codes of practice and workplace policies and practices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S</w:t>
            </w:r>
            <w:r w:rsidRPr="001C5AAF">
              <w:t>afe operating procedures are to include, but are not limited to the conduct of operational risk assessment and treatments associated with site safety, working in proximity to others and site visitors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Emergency procedures related to th</w:t>
            </w:r>
            <w:r w:rsidRPr="001C5AAF">
              <w:t>is unit are to include, but are not limited to enterprise first aid requirements and site evacuation</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Environmental requirements are to include but are not limited to waste management and clean-up management</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Quality requirements are to include, but are not limited to regulations, including Australian Standards, internal company quality policy and standards and enterprise operations and procedures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Statutory</w:t>
            </w:r>
            <w:r w:rsidRPr="001C5AAF">
              <w:t>/</w:t>
            </w:r>
            <w:r w:rsidRPr="001C5AAF">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Statutory/regulatory authorities may include Federal, State/Territory and local authorities administering acts, regulations and codes of practice</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Resources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Resources may include manual and electronic viewing aids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t>Communications are to incl</w:t>
            </w:r>
            <w:r w:rsidRPr="001C5AAF">
              <w:t>ude, but are not limited to verbal and visual instructions and may include site specific instructions, written instructions, plans or instructions related to job/task, telephones and pagers</w:t>
            </w:r>
          </w:p>
        </w:tc>
      </w:tr>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Information</w:t>
            </w:r>
            <w:r w:rsidRPr="001C5AAF">
              <w:t>/</w:t>
            </w:r>
            <w:r w:rsidRPr="001C5AAF">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Sources of information/documents may includ</w:t>
            </w:r>
            <w:r w:rsidRPr="001C5AAF">
              <w:t>e:</w:t>
            </w:r>
          </w:p>
          <w:p w:rsidR="00000000" w:rsidRPr="001C5AAF" w:rsidP="001C5AAF">
            <w:pPr>
              <w:pStyle w:val="ListBullet"/>
            </w:pPr>
            <w:r w:rsidRPr="001C5AAF">
              <w:t>schedules/plans/specifications, memos, material safety data sheets, diagrams or sketches</w:t>
            </w:r>
          </w:p>
          <w:p w:rsidR="00000000" w:rsidRPr="001C5AAF" w:rsidP="001C5AAF">
            <w:pPr>
              <w:pStyle w:val="ListBullet"/>
            </w:pPr>
            <w:r w:rsidRPr="001C5AAF">
              <w:t>regulatory/legislative requirements pertaining to the automotive industry, including Australian Design Rules</w:t>
            </w:r>
          </w:p>
          <w:p w:rsidR="00000000" w:rsidRPr="001C5AAF" w:rsidP="001C5AAF">
            <w:pPr>
              <w:pStyle w:val="ListBullet"/>
            </w:pPr>
            <w:r w:rsidRPr="001C5AAF">
              <w:t>organisation work specifications and requirements</w:t>
            </w:r>
          </w:p>
          <w:p w:rsidR="00000000" w:rsidRPr="001C5AAF" w:rsidP="001C5AAF">
            <w:pPr>
              <w:pStyle w:val="ListBullet"/>
            </w:pPr>
            <w:r w:rsidRPr="001C5AAF">
              <w:t>inst</w:t>
            </w:r>
            <w:r w:rsidRPr="001C5AAF">
              <w:t>ructions issued by authorised enterprise or external persons</w:t>
            </w:r>
          </w:p>
          <w:p w:rsidR="00000000" w:rsidRPr="001C5AAF" w:rsidP="001C5AAF">
            <w:pPr>
              <w:pStyle w:val="ListBullet"/>
            </w:pPr>
            <w:r w:rsidRPr="001C5AAF">
              <w:t>Australian Standards</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12" w:name="O_481348"/>
      <w:bookmarkEnd w:id="12"/>
      <w:r w:rsidRPr="001C5AAF">
        <w:t>Unit Sector(s)</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Common</w:t>
            </w:r>
          </w:p>
        </w:tc>
      </w:tr>
    </w:tbl>
    <w:p w:rsidR="00000000" w:rsidRPr="001C5AAF" w:rsidP="001C5AAF">
      <w:pPr>
        <w:pStyle w:val="BodyText"/>
      </w:pPr>
    </w:p>
    <w:p w:rsidR="00000000" w:rsidRPr="001C5AAF" w:rsidP="001C5AAF">
      <w:pPr>
        <w:pStyle w:val="AllowPageBreak"/>
      </w:pPr>
    </w:p>
    <w:p w:rsidR="00000000" w:rsidRPr="001C5AAF" w:rsidP="001C5AAF">
      <w:pPr>
        <w:pStyle w:val="Heading1"/>
      </w:pPr>
      <w:bookmarkStart w:id="13" w:name="O_481337"/>
      <w:bookmarkEnd w:id="13"/>
      <w:r w:rsidRPr="001C5AAF">
        <w:t>Co-requisite units</w:t>
      </w:r>
    </w:p>
    <w:p w:rsidR="00000000" w:rsidRPr="001C5AAF" w:rsidP="001C5AAF">
      <w:pPr>
        <w:pStyle w:val="BodyText"/>
      </w:pPr>
      <w:r w:rsidRPr="001C5AAF">
        <w:t>Not applicable.</w:t>
      </w:r>
    </w:p>
    <w:p w:rsidR="00000000" w:rsidRPr="001C5AAF" w:rsidP="001C5AAF">
      <w:pPr>
        <w:pStyle w:val="AllowPageBreak"/>
      </w:pPr>
    </w:p>
    <w:p w:rsidR="00000000" w:rsidRPr="001C5AAF" w:rsidP="001C5AAF">
      <w:pPr>
        <w:pStyle w:val="Heading1"/>
      </w:pPr>
      <w:bookmarkStart w:id="14" w:name="O_481336"/>
      <w:bookmarkEnd w:id="14"/>
      <w:r w:rsidRPr="001C5AAF">
        <w:t>Competency field</w:t>
      </w:r>
    </w:p>
    <w:tbl>
      <w:tblPr>
        <w:tblW w:w="9639" w:type="dxa"/>
        <w:tblLayout w:type="fixed"/>
        <w:tblCellMar>
          <w:left w:w="62" w:type="dxa"/>
          <w:right w:w="62" w:type="dxa"/>
        </w:tblCellMar>
        <w:tblLook w:val="0000"/>
      </w:tblPr>
      <w:tblGrid>
        <w:gridCol w:w="2977"/>
        <w:gridCol w:w="6662"/>
      </w:tblGrid>
      <w:tr w:rsidTr="00AB4D4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AAF">
            <w:pPr>
              <w:pStyle w:val="BodyText"/>
              <w:rPr>
                <w:lang w:val="en-NZ"/>
              </w:rPr>
            </w:pPr>
            <w:r w:rsidRPr="001C5AA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AAF" w:rsidP="001C5AAF">
            <w:pPr>
              <w:pStyle w:val="BodyText"/>
            </w:pPr>
            <w:r w:rsidRPr="001C5AAF">
              <w:t>Technical</w:t>
            </w:r>
          </w:p>
        </w:tc>
      </w:tr>
    </w:tbl>
    <w:p w:rsidR="00000000" w:rsidRPr="001C5AAF" w:rsidP="001C5AAF">
      <w:pPr>
        <w:pStyle w:val="BodyText"/>
      </w:pPr>
    </w:p>
    <w:p w:rsidR="00000000" w:rsidRPr="001C5AAF" w:rsidP="001C5AAF"/>
    <w:sectPr w:rsidSect="001C5A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AF" w:rsidRPr="00AB4D46" w:rsidP="00AB4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46" w:rsidP="001C5A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4D46" w:rsidP="001C5A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B4D46" w:rsidP="001C5A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AF" w:rsidRPr="00AB4D46" w:rsidP="00AB4D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46" w:rsidRPr="002D2AF8" w:rsidP="001C5AAF">
    <w:pPr>
      <w:pStyle w:val="Header"/>
      <w:framePr w:wrap="around"/>
    </w:pPr>
    <w:r>
      <w:fldChar w:fldCharType="begin"/>
    </w:r>
    <w:r>
      <w:instrText xml:space="preserve"> TITLE   \* MERGEFORMAT </w:instrText>
    </w:r>
    <w:r>
      <w:fldChar w:fldCharType="separate"/>
    </w:r>
    <w:r>
      <w:t>AURATA2002 Read and interpret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B4D46" w:rsidP="001C5A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2E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BEE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A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AAF"/>
    <w:pPr>
      <w:spacing w:before="360" w:after="60"/>
      <w:outlineLvl w:val="0"/>
    </w:pPr>
    <w:rPr>
      <w:sz w:val="32"/>
    </w:rPr>
  </w:style>
  <w:style w:type="paragraph" w:styleId="Heading2">
    <w:name w:val="heading 2"/>
    <w:basedOn w:val="HeadingBase"/>
    <w:next w:val="BodyText"/>
    <w:link w:val="Heading2Char"/>
    <w:qFormat/>
    <w:rsid w:val="001C5AAF"/>
    <w:pPr>
      <w:keepLines/>
      <w:spacing w:before="240" w:after="120"/>
      <w:outlineLvl w:val="1"/>
    </w:pPr>
    <w:rPr>
      <w:sz w:val="28"/>
      <w:szCs w:val="40"/>
    </w:rPr>
  </w:style>
  <w:style w:type="paragraph" w:styleId="Heading3">
    <w:name w:val="heading 3"/>
    <w:basedOn w:val="HeadingBase"/>
    <w:next w:val="BodyText"/>
    <w:link w:val="Heading3Char"/>
    <w:qFormat/>
    <w:rsid w:val="001C5AAF"/>
    <w:pPr>
      <w:spacing w:before="180" w:after="120"/>
      <w:outlineLvl w:val="2"/>
    </w:pPr>
    <w:rPr>
      <w:spacing w:val="-10"/>
      <w:kern w:val="32"/>
    </w:rPr>
  </w:style>
  <w:style w:type="paragraph" w:styleId="Heading4">
    <w:name w:val="heading 4"/>
    <w:basedOn w:val="HeadingBase"/>
    <w:next w:val="BodyText"/>
    <w:link w:val="Heading4Char"/>
    <w:qFormat/>
    <w:rsid w:val="001C5AAF"/>
    <w:pPr>
      <w:spacing w:before="160" w:after="120"/>
      <w:outlineLvl w:val="3"/>
    </w:pPr>
    <w:rPr>
      <w:sz w:val="22"/>
    </w:rPr>
  </w:style>
  <w:style w:type="paragraph" w:styleId="Heading5">
    <w:name w:val="heading 5"/>
    <w:basedOn w:val="HeadingBase"/>
    <w:next w:val="Normal"/>
    <w:link w:val="Heading5Char"/>
    <w:qFormat/>
    <w:rsid w:val="001C5AAF"/>
    <w:pPr>
      <w:spacing w:before="80"/>
      <w:outlineLvl w:val="4"/>
    </w:pPr>
    <w:rPr>
      <w:color w:val="918585"/>
      <w:sz w:val="20"/>
    </w:rPr>
  </w:style>
  <w:style w:type="paragraph" w:styleId="Heading6">
    <w:name w:val="heading 6"/>
    <w:basedOn w:val="HeadingBase"/>
    <w:next w:val="Normal"/>
    <w:link w:val="Heading6Char"/>
    <w:qFormat/>
    <w:rsid w:val="001C5AAF"/>
    <w:pPr>
      <w:spacing w:before="60"/>
      <w:outlineLvl w:val="5"/>
    </w:pPr>
    <w:rPr>
      <w:color w:val="918585"/>
      <w:sz w:val="20"/>
    </w:rPr>
  </w:style>
  <w:style w:type="paragraph" w:styleId="Heading7">
    <w:name w:val="heading 7"/>
    <w:basedOn w:val="Normal"/>
    <w:next w:val="Normal"/>
    <w:link w:val="Heading7Char"/>
    <w:qFormat/>
    <w:rsid w:val="001C5AAF"/>
    <w:pPr>
      <w:ind w:left="720"/>
      <w:outlineLvl w:val="6"/>
    </w:pPr>
    <w:rPr>
      <w:i/>
    </w:rPr>
  </w:style>
  <w:style w:type="paragraph" w:styleId="Heading8">
    <w:name w:val="heading 8"/>
    <w:basedOn w:val="Normal"/>
    <w:next w:val="Normal"/>
    <w:link w:val="Heading8Char"/>
    <w:qFormat/>
    <w:rsid w:val="001C5AAF"/>
    <w:pPr>
      <w:ind w:left="720"/>
      <w:outlineLvl w:val="7"/>
    </w:pPr>
    <w:rPr>
      <w:i/>
    </w:rPr>
  </w:style>
  <w:style w:type="paragraph" w:styleId="Heading9">
    <w:name w:val="heading 9"/>
    <w:basedOn w:val="Normal"/>
    <w:next w:val="Normal"/>
    <w:link w:val="Heading9Char"/>
    <w:qFormat/>
    <w:rsid w:val="001C5AAF"/>
    <w:pPr>
      <w:ind w:left="720"/>
      <w:outlineLvl w:val="8"/>
    </w:pPr>
    <w:rPr>
      <w:i/>
    </w:rPr>
  </w:style>
  <w:style w:type="character" w:default="1" w:styleId="DefaultParagraphFont">
    <w:name w:val="Default Paragraph Font"/>
    <w:uiPriority w:val="1"/>
    <w:unhideWhenUsed/>
    <w:rsid w:val="001C5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AAF"/>
  </w:style>
  <w:style w:type="character" w:customStyle="1" w:styleId="Heading1Char">
    <w:name w:val="Heading 1 Char"/>
    <w:basedOn w:val="DefaultParagraphFont"/>
    <w:link w:val="Heading1"/>
    <w:rsid w:val="001C5AAF"/>
    <w:rPr>
      <w:rFonts w:ascii="Times New Roman" w:eastAsia="Times New Roman" w:hAnsi="Times New Roman" w:cs="Times New Roman"/>
      <w:b/>
      <w:sz w:val="32"/>
      <w:szCs w:val="20"/>
      <w:lang w:eastAsia="en-US"/>
    </w:rPr>
  </w:style>
  <w:style w:type="paragraph" w:styleId="BodyText">
    <w:name w:val="Body Text"/>
    <w:basedOn w:val="Normal"/>
    <w:link w:val="BodyTextChar"/>
    <w:rsid w:val="001C5A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AAF"/>
    <w:rPr>
      <w:rFonts w:ascii="Times New Roman" w:eastAsia="Times New Roman" w:hAnsi="Times New Roman" w:cs="Times New Roman"/>
      <w:sz w:val="24"/>
      <w:lang w:eastAsia="en-US"/>
    </w:rPr>
  </w:style>
  <w:style w:type="paragraph" w:styleId="List">
    <w:name w:val="List"/>
    <w:basedOn w:val="BodyText"/>
    <w:next w:val="BodyText"/>
    <w:rsid w:val="001C5AAF"/>
    <w:pPr>
      <w:tabs>
        <w:tab w:val="left" w:pos="340"/>
      </w:tabs>
      <w:spacing w:before="60" w:after="60"/>
      <w:ind w:left="340" w:hanging="340"/>
    </w:pPr>
  </w:style>
  <w:style w:type="paragraph" w:styleId="ListBullet">
    <w:name w:val="List Bullet"/>
    <w:basedOn w:val="List"/>
    <w:rsid w:val="001C5AAF"/>
    <w:pPr>
      <w:numPr>
        <w:numId w:val="12"/>
      </w:numPr>
      <w:tabs>
        <w:tab w:val="clear" w:pos="340"/>
      </w:tabs>
      <w:spacing w:before="40" w:after="40"/>
    </w:pPr>
  </w:style>
  <w:style w:type="character" w:customStyle="1" w:styleId="SpecialBold">
    <w:name w:val="Special Bold"/>
    <w:basedOn w:val="DefaultParagraphFont"/>
    <w:rsid w:val="001C5AAF"/>
    <w:rPr>
      <w:b/>
      <w:spacing w:val="0"/>
    </w:rPr>
  </w:style>
  <w:style w:type="paragraph" w:customStyle="1" w:styleId="SuperHeading">
    <w:name w:val="SuperHeading"/>
    <w:basedOn w:val="Normal"/>
    <w:rsid w:val="001C5AAF"/>
    <w:pPr>
      <w:spacing w:before="240" w:after="120"/>
      <w:outlineLvl w:val="0"/>
    </w:pPr>
    <w:rPr>
      <w:rFonts w:ascii="Times New Roman" w:hAnsi="Times New Roman"/>
      <w:b/>
      <w:sz w:val="32"/>
    </w:rPr>
  </w:style>
  <w:style w:type="paragraph" w:customStyle="1" w:styleId="AllowPageBreak">
    <w:name w:val="AllowPageBreak"/>
    <w:rsid w:val="001C5A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5AAF"/>
    <w:pPr>
      <w:tabs>
        <w:tab w:val="left" w:pos="680"/>
      </w:tabs>
      <w:spacing w:before="60" w:after="60"/>
      <w:ind w:left="680" w:hanging="340"/>
    </w:pPr>
  </w:style>
  <w:style w:type="character" w:customStyle="1" w:styleId="Heading2Char">
    <w:name w:val="Heading 2 Char"/>
    <w:basedOn w:val="DefaultParagraphFont"/>
    <w:link w:val="Heading2"/>
    <w:rsid w:val="001C5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A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A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AAF"/>
    <w:rPr>
      <w:rFonts w:ascii="Courier New" w:eastAsia="Times New Roman" w:hAnsi="Courier New" w:cs="Times New Roman"/>
      <w:i/>
      <w:szCs w:val="20"/>
      <w:lang w:eastAsia="en-US"/>
    </w:rPr>
  </w:style>
  <w:style w:type="paragraph" w:customStyle="1" w:styleId="HeadingBase">
    <w:name w:val="Heading Base"/>
    <w:rsid w:val="001C5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AAF"/>
    <w:pPr>
      <w:tabs>
        <w:tab w:val="right" w:leader="dot" w:pos="9072"/>
      </w:tabs>
      <w:ind w:left="567"/>
    </w:pPr>
    <w:rPr>
      <w:szCs w:val="22"/>
    </w:rPr>
  </w:style>
  <w:style w:type="paragraph" w:customStyle="1" w:styleId="TOCBase">
    <w:name w:val="TOC Base"/>
    <w:rsid w:val="001C5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AAF"/>
    <w:pPr>
      <w:tabs>
        <w:tab w:val="right" w:leader="dot" w:pos="9072"/>
      </w:tabs>
      <w:spacing w:before="40" w:after="40"/>
      <w:ind w:left="284"/>
    </w:pPr>
    <w:rPr>
      <w:rFonts w:ascii="Times New Roman" w:hAnsi="Times New Roman"/>
    </w:rPr>
  </w:style>
  <w:style w:type="paragraph" w:styleId="TOC1">
    <w:name w:val="toc 1"/>
    <w:basedOn w:val="TOCBase"/>
    <w:next w:val="Normal"/>
    <w:rsid w:val="001C5A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AAF"/>
    <w:rPr>
      <w:rFonts w:ascii="Times New Roman" w:eastAsia="Times New Roman" w:hAnsi="Times New Roman" w:cs="Times New Roman"/>
      <w:sz w:val="16"/>
      <w:lang w:eastAsia="en-US"/>
    </w:rPr>
  </w:style>
  <w:style w:type="paragraph" w:styleId="Title">
    <w:name w:val="Title"/>
    <w:basedOn w:val="HeadingBase"/>
    <w:link w:val="TitleChar"/>
    <w:qFormat/>
    <w:rsid w:val="001C5AAF"/>
    <w:pPr>
      <w:spacing w:before="5040"/>
      <w:jc w:val="center"/>
    </w:pPr>
    <w:rPr>
      <w:sz w:val="48"/>
      <w:szCs w:val="72"/>
      <w:lang w:val="en-US"/>
    </w:rPr>
  </w:style>
  <w:style w:type="character" w:customStyle="1" w:styleId="TitleChar">
    <w:name w:val="Title Char"/>
    <w:basedOn w:val="DefaultParagraphFont"/>
    <w:link w:val="Title"/>
    <w:rsid w:val="001C5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AAF"/>
    <w:pPr>
      <w:tabs>
        <w:tab w:val="left" w:pos="3600"/>
        <w:tab w:val="left" w:pos="3958"/>
      </w:tabs>
    </w:pPr>
  </w:style>
  <w:style w:type="paragraph" w:customStyle="1" w:styleId="Note">
    <w:name w:val="Note"/>
    <w:basedOn w:val="BodyText"/>
    <w:rsid w:val="001C5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AAF"/>
    <w:pPr>
      <w:framePr w:wrap="auto" w:hAnchor="text" w:y="6049"/>
    </w:pPr>
    <w:rPr>
      <w:color w:val="000000"/>
      <w:sz w:val="40"/>
    </w:rPr>
  </w:style>
  <w:style w:type="paragraph" w:customStyle="1" w:styleId="TOCTitle">
    <w:name w:val="TOCTitle"/>
    <w:basedOn w:val="Heading1"/>
    <w:rsid w:val="001C5AAF"/>
    <w:pPr>
      <w:spacing w:after="240"/>
      <w:jc w:val="center"/>
      <w:outlineLvl w:val="9"/>
    </w:pPr>
    <w:rPr>
      <w:caps/>
    </w:rPr>
  </w:style>
  <w:style w:type="paragraph" w:customStyle="1" w:styleId="Version">
    <w:name w:val="Version"/>
    <w:rsid w:val="001C5A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5AAF"/>
    <w:pPr>
      <w:numPr>
        <w:numId w:val="13"/>
      </w:numPr>
      <w:tabs>
        <w:tab w:val="clear" w:pos="680"/>
      </w:tabs>
    </w:pPr>
  </w:style>
  <w:style w:type="paragraph" w:styleId="Index1">
    <w:name w:val="index 1"/>
    <w:basedOn w:val="Normal"/>
    <w:next w:val="Normal"/>
    <w:semiHidden/>
    <w:rsid w:val="001C5AAF"/>
    <w:pPr>
      <w:keepNext w:val="0"/>
      <w:tabs>
        <w:tab w:val="right" w:pos="4176"/>
      </w:tabs>
      <w:ind w:left="198" w:hanging="198"/>
    </w:pPr>
    <w:rPr>
      <w:rFonts w:ascii="Garamond" w:hAnsi="Garamond"/>
    </w:rPr>
  </w:style>
  <w:style w:type="paragraph" w:styleId="IndexHeading">
    <w:name w:val="index heading"/>
    <w:basedOn w:val="Normal"/>
    <w:next w:val="Index1"/>
    <w:semiHidden/>
    <w:rsid w:val="001C5AAF"/>
    <w:pPr>
      <w:spacing w:before="120" w:after="120"/>
    </w:pPr>
    <w:rPr>
      <w:rFonts w:ascii="Arial" w:hAnsi="Arial"/>
      <w:b/>
      <w:color w:val="918585"/>
      <w:sz w:val="24"/>
    </w:rPr>
  </w:style>
  <w:style w:type="paragraph" w:styleId="Header">
    <w:name w:val="header"/>
    <w:basedOn w:val="Normal"/>
    <w:link w:val="HeaderChar"/>
    <w:rsid w:val="001C5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AAF"/>
    <w:rPr>
      <w:rFonts w:ascii="Times New Roman" w:eastAsia="Times New Roman" w:hAnsi="Times New Roman" w:cs="Times New Roman"/>
      <w:sz w:val="16"/>
      <w:szCs w:val="20"/>
      <w:lang w:val="en-GB" w:eastAsia="en-US"/>
    </w:rPr>
  </w:style>
  <w:style w:type="paragraph" w:customStyle="1" w:styleId="Chapter">
    <w:name w:val="Chapter"/>
    <w:basedOn w:val="Normal"/>
    <w:rsid w:val="001C5AAF"/>
    <w:pPr>
      <w:spacing w:before="240"/>
    </w:pPr>
    <w:rPr>
      <w:rFonts w:ascii="Times New Roman" w:hAnsi="Times New Roman"/>
      <w:smallCaps/>
      <w:spacing w:val="80"/>
      <w:sz w:val="28"/>
    </w:rPr>
  </w:style>
  <w:style w:type="paragraph" w:customStyle="1" w:styleId="InChapter">
    <w:name w:val="InChapter"/>
    <w:basedOn w:val="Heading3"/>
    <w:rsid w:val="001C5AAF"/>
    <w:pPr>
      <w:spacing w:after="240"/>
      <w:outlineLvl w:val="9"/>
    </w:pPr>
    <w:rPr>
      <w:noProof/>
    </w:rPr>
  </w:style>
  <w:style w:type="paragraph" w:styleId="Index2">
    <w:name w:val="index 2"/>
    <w:basedOn w:val="Normal"/>
    <w:next w:val="Normal"/>
    <w:semiHidden/>
    <w:rsid w:val="001C5AAF"/>
    <w:pPr>
      <w:tabs>
        <w:tab w:val="right" w:pos="4176"/>
      </w:tabs>
      <w:ind w:left="568" w:hanging="284"/>
    </w:pPr>
    <w:rPr>
      <w:rFonts w:ascii="Garamond" w:hAnsi="Garamond"/>
    </w:rPr>
  </w:style>
  <w:style w:type="paragraph" w:customStyle="1" w:styleId="Byline">
    <w:name w:val="Byline"/>
    <w:rsid w:val="001C5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AAF"/>
    <w:pPr>
      <w:tabs>
        <w:tab w:val="clear" w:pos="3600"/>
        <w:tab w:val="clear" w:pos="3958"/>
      </w:tabs>
      <w:jc w:val="right"/>
    </w:pPr>
  </w:style>
  <w:style w:type="character" w:styleId="Emphasis">
    <w:name w:val="Emphasis"/>
    <w:basedOn w:val="DefaultParagraphFont"/>
    <w:qFormat/>
    <w:rsid w:val="001C5AAF"/>
    <w:rPr>
      <w:i/>
    </w:rPr>
  </w:style>
  <w:style w:type="paragraph" w:styleId="Caption">
    <w:name w:val="caption"/>
    <w:basedOn w:val="BodyText"/>
    <w:next w:val="Normal"/>
    <w:qFormat/>
    <w:rsid w:val="001C5AAF"/>
    <w:pPr>
      <w:framePr w:w="2268" w:hSpace="181" w:vSpace="181" w:wrap="around" w:vAnchor="text" w:hAnchor="page" w:x="1135" w:y="285" w:anchorLock="1"/>
    </w:pPr>
    <w:rPr>
      <w:i/>
    </w:rPr>
  </w:style>
  <w:style w:type="paragraph" w:customStyle="1" w:styleId="MiniTOCTitle">
    <w:name w:val="MiniTOCTitle"/>
    <w:basedOn w:val="Heading4"/>
    <w:rsid w:val="001C5AAF"/>
    <w:pPr>
      <w:spacing w:before="240"/>
      <w:outlineLvl w:val="9"/>
    </w:pPr>
    <w:rPr>
      <w:noProof/>
      <w:sz w:val="24"/>
    </w:rPr>
  </w:style>
  <w:style w:type="paragraph" w:customStyle="1" w:styleId="MiniTOCItem">
    <w:name w:val="MiniTOCItem"/>
    <w:basedOn w:val="ListBullet"/>
    <w:rsid w:val="001C5AAF"/>
    <w:pPr>
      <w:numPr>
        <w:numId w:val="0"/>
      </w:numPr>
      <w:tabs>
        <w:tab w:val="right" w:leader="dot" w:pos="6521"/>
      </w:tabs>
      <w:spacing w:before="0" w:after="0"/>
    </w:pPr>
  </w:style>
  <w:style w:type="paragraph" w:customStyle="1" w:styleId="TOFTitle">
    <w:name w:val="TOFTitle"/>
    <w:basedOn w:val="TOCTitle"/>
    <w:rsid w:val="001C5AAF"/>
  </w:style>
  <w:style w:type="paragraph" w:styleId="TableofFigures">
    <w:name w:val="table of figures"/>
    <w:basedOn w:val="Normal"/>
    <w:next w:val="Normal"/>
    <w:semiHidden/>
    <w:rsid w:val="001C5AAF"/>
    <w:pPr>
      <w:tabs>
        <w:tab w:val="right" w:leader="dot" w:pos="9072"/>
      </w:tabs>
      <w:ind w:left="970" w:hanging="403"/>
    </w:pPr>
    <w:rPr>
      <w:rFonts w:ascii="Times New Roman" w:hAnsi="Times New Roman"/>
      <w:b/>
    </w:rPr>
  </w:style>
  <w:style w:type="paragraph" w:styleId="ListNumber">
    <w:name w:val="List Number"/>
    <w:basedOn w:val="List"/>
    <w:rsid w:val="001C5AAF"/>
    <w:pPr>
      <w:numPr>
        <w:numId w:val="10"/>
      </w:numPr>
    </w:pPr>
  </w:style>
  <w:style w:type="character" w:customStyle="1" w:styleId="WingdingSymbols">
    <w:name w:val="Wingding Symbols"/>
    <w:rsid w:val="001C5AAF"/>
    <w:rPr>
      <w:rFonts w:ascii="Wingdings" w:hAnsi="Wingdings"/>
    </w:rPr>
  </w:style>
  <w:style w:type="paragraph" w:customStyle="1" w:styleId="TableHeading">
    <w:name w:val="Table Heading"/>
    <w:basedOn w:val="HeadingBase"/>
    <w:rsid w:val="001C5AAF"/>
    <w:pPr>
      <w:keepLines/>
      <w:pBdr>
        <w:bottom w:val="single" w:sz="6" w:space="1" w:color="918585"/>
      </w:pBdr>
      <w:spacing w:before="240"/>
    </w:pPr>
  </w:style>
  <w:style w:type="character" w:customStyle="1" w:styleId="HotSpot">
    <w:name w:val="HotSpot"/>
    <w:rsid w:val="001C5AAF"/>
    <w:rPr>
      <w:color w:val="0033CC"/>
      <w:u w:val="none"/>
    </w:rPr>
  </w:style>
  <w:style w:type="paragraph" w:customStyle="1" w:styleId="BodyTextRight">
    <w:name w:val="Body Text Right"/>
    <w:basedOn w:val="BodyText"/>
    <w:rsid w:val="001C5AAF"/>
    <w:pPr>
      <w:spacing w:before="0" w:after="0"/>
      <w:jc w:val="right"/>
    </w:pPr>
  </w:style>
  <w:style w:type="paragraph" w:styleId="Index3">
    <w:name w:val="index 3"/>
    <w:basedOn w:val="ListNumber2"/>
    <w:next w:val="Normal"/>
    <w:semiHidden/>
    <w:rsid w:val="001C5AAF"/>
    <w:pPr>
      <w:numPr>
        <w:numId w:val="0"/>
      </w:numPr>
      <w:tabs>
        <w:tab w:val="right" w:leader="dot" w:pos="4176"/>
      </w:tabs>
    </w:pPr>
  </w:style>
  <w:style w:type="paragraph" w:styleId="ListNumber2">
    <w:name w:val="List Number 2"/>
    <w:basedOn w:val="List2"/>
    <w:rsid w:val="001C5AAF"/>
    <w:pPr>
      <w:numPr>
        <w:numId w:val="9"/>
      </w:numPr>
      <w:tabs>
        <w:tab w:val="clear" w:pos="1060"/>
      </w:tabs>
    </w:pPr>
  </w:style>
  <w:style w:type="paragraph" w:customStyle="1" w:styleId="MarginNote">
    <w:name w:val="Margin Note"/>
    <w:basedOn w:val="BodyText"/>
    <w:rsid w:val="001C5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A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AAF"/>
    <w:rPr>
      <w:sz w:val="32"/>
    </w:rPr>
  </w:style>
  <w:style w:type="paragraph" w:customStyle="1" w:styleId="HeadingProcedure">
    <w:name w:val="Heading Procedure"/>
    <w:basedOn w:val="HeadingBase"/>
    <w:next w:val="Normal"/>
    <w:rsid w:val="001C5AAF"/>
    <w:pPr>
      <w:tabs>
        <w:tab w:val="left" w:pos="0"/>
      </w:tabs>
      <w:spacing w:before="120" w:after="60"/>
    </w:pPr>
    <w:rPr>
      <w:i/>
      <w:color w:val="918585"/>
      <w:sz w:val="22"/>
    </w:rPr>
  </w:style>
  <w:style w:type="paragraph" w:customStyle="1" w:styleId="TableBodyText">
    <w:name w:val="Table Body Text"/>
    <w:basedOn w:val="BodyText"/>
    <w:rsid w:val="001C5AAF"/>
    <w:pPr>
      <w:spacing w:before="60" w:after="60"/>
    </w:pPr>
  </w:style>
  <w:style w:type="paragraph" w:styleId="ListContinue">
    <w:name w:val="List Continue"/>
    <w:basedOn w:val="List"/>
    <w:rsid w:val="001C5AAF"/>
    <w:pPr>
      <w:ind w:firstLine="0"/>
    </w:pPr>
  </w:style>
  <w:style w:type="paragraph" w:customStyle="1" w:styleId="ListNote">
    <w:name w:val="List Note"/>
    <w:basedOn w:val="List"/>
    <w:rsid w:val="001C5AAF"/>
    <w:pPr>
      <w:pBdr>
        <w:top w:val="single" w:sz="6" w:space="2" w:color="918585"/>
        <w:bottom w:val="single" w:sz="6" w:space="2" w:color="918585"/>
      </w:pBdr>
      <w:tabs>
        <w:tab w:val="left" w:pos="1021"/>
      </w:tabs>
      <w:ind w:firstLine="0"/>
    </w:pPr>
  </w:style>
  <w:style w:type="paragraph" w:customStyle="1" w:styleId="Warning">
    <w:name w:val="Warning"/>
    <w:basedOn w:val="BodyText"/>
    <w:rsid w:val="001C5AAF"/>
    <w:pPr>
      <w:shd w:val="clear" w:color="auto" w:fill="D9D9D9"/>
      <w:tabs>
        <w:tab w:val="left" w:pos="992"/>
      </w:tabs>
      <w:ind w:left="119" w:right="119"/>
    </w:pPr>
    <w:rPr>
      <w:sz w:val="20"/>
    </w:rPr>
  </w:style>
  <w:style w:type="paragraph" w:customStyle="1" w:styleId="MarginIcons">
    <w:name w:val="Margin Icons"/>
    <w:basedOn w:val="BodyText"/>
    <w:rsid w:val="001C5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AAF"/>
    <w:rPr>
      <w:rFonts w:ascii="Courier New" w:hAnsi="Courier New"/>
    </w:rPr>
  </w:style>
  <w:style w:type="paragraph" w:customStyle="1" w:styleId="NoteBullet">
    <w:name w:val="Note Bullet"/>
    <w:basedOn w:val="Note"/>
    <w:rsid w:val="001C5AAF"/>
    <w:pPr>
      <w:tabs>
        <w:tab w:val="clear" w:pos="680"/>
      </w:tabs>
      <w:spacing w:before="60" w:after="60"/>
    </w:pPr>
  </w:style>
  <w:style w:type="paragraph" w:customStyle="1" w:styleId="SubHeading2">
    <w:name w:val="SubHeading2"/>
    <w:basedOn w:val="HeadingBase"/>
    <w:rsid w:val="001C5AAF"/>
    <w:pPr>
      <w:spacing w:before="240" w:after="60"/>
    </w:pPr>
    <w:rPr>
      <w:sz w:val="20"/>
    </w:rPr>
  </w:style>
  <w:style w:type="paragraph" w:customStyle="1" w:styleId="SubHeading1">
    <w:name w:val="SubHeading1"/>
    <w:basedOn w:val="HeadingBase"/>
    <w:rsid w:val="001C5AAF"/>
    <w:pPr>
      <w:spacing w:before="240" w:after="60"/>
    </w:pPr>
    <w:rPr>
      <w:color w:val="918585"/>
      <w:sz w:val="22"/>
    </w:rPr>
  </w:style>
  <w:style w:type="paragraph" w:customStyle="1" w:styleId="SideHeading">
    <w:name w:val="Side Heading"/>
    <w:basedOn w:val="HeadingBase"/>
    <w:rsid w:val="001C5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AAF"/>
    <w:pPr>
      <w:tabs>
        <w:tab w:val="num" w:pos="360"/>
      </w:tabs>
    </w:pPr>
  </w:style>
  <w:style w:type="paragraph" w:styleId="PlainText">
    <w:name w:val="Plain Text"/>
    <w:basedOn w:val="Normal"/>
    <w:link w:val="PlainTextChar"/>
    <w:rsid w:val="001C5AAF"/>
    <w:rPr>
      <w:sz w:val="20"/>
    </w:rPr>
  </w:style>
  <w:style w:type="character" w:customStyle="1" w:styleId="PlainTextChar">
    <w:name w:val="Plain Text Char"/>
    <w:basedOn w:val="DefaultParagraphFont"/>
    <w:link w:val="PlainText"/>
    <w:rsid w:val="001C5AAF"/>
    <w:rPr>
      <w:rFonts w:ascii="Courier New" w:eastAsia="Times New Roman" w:hAnsi="Courier New" w:cs="Times New Roman"/>
      <w:sz w:val="20"/>
      <w:szCs w:val="20"/>
      <w:lang w:eastAsia="en-US"/>
    </w:rPr>
  </w:style>
  <w:style w:type="character" w:customStyle="1" w:styleId="MenuOption">
    <w:name w:val="Menu Option"/>
    <w:basedOn w:val="DefaultParagraphFont"/>
    <w:rsid w:val="001C5AAF"/>
    <w:rPr>
      <w:b/>
      <w:smallCaps/>
    </w:rPr>
  </w:style>
  <w:style w:type="paragraph" w:customStyle="1" w:styleId="TableListNumber">
    <w:name w:val="Table List Number"/>
    <w:basedOn w:val="ListNumber"/>
    <w:rsid w:val="001C5AAF"/>
    <w:pPr>
      <w:numPr>
        <w:numId w:val="0"/>
      </w:numPr>
    </w:pPr>
  </w:style>
  <w:style w:type="paragraph" w:styleId="TOC4">
    <w:name w:val="toc 4"/>
    <w:basedOn w:val="TOCBase"/>
    <w:next w:val="Normal"/>
    <w:semiHidden/>
    <w:rsid w:val="001C5AAF"/>
    <w:pPr>
      <w:tabs>
        <w:tab w:val="right" w:leader="dot" w:pos="9071"/>
      </w:tabs>
      <w:ind w:left="1701"/>
    </w:pPr>
  </w:style>
  <w:style w:type="paragraph" w:customStyle="1" w:styleId="ListAlpha">
    <w:name w:val="List Alpha"/>
    <w:basedOn w:val="List"/>
    <w:rsid w:val="001C5AAF"/>
    <w:pPr>
      <w:numPr>
        <w:numId w:val="8"/>
      </w:numPr>
    </w:pPr>
  </w:style>
  <w:style w:type="paragraph" w:customStyle="1" w:styleId="ListAlpha2">
    <w:name w:val="List Alpha 2"/>
    <w:basedOn w:val="List2"/>
    <w:rsid w:val="001C5AAF"/>
    <w:pPr>
      <w:numPr>
        <w:numId w:val="7"/>
      </w:numPr>
    </w:pPr>
  </w:style>
  <w:style w:type="paragraph" w:styleId="List3">
    <w:name w:val="List 3"/>
    <w:basedOn w:val="BodyText"/>
    <w:rsid w:val="001C5AAF"/>
    <w:pPr>
      <w:tabs>
        <w:tab w:val="left" w:pos="1021"/>
      </w:tabs>
      <w:spacing w:before="60" w:after="60"/>
      <w:ind w:left="1020" w:hanging="340"/>
    </w:pPr>
  </w:style>
  <w:style w:type="paragraph" w:styleId="List4">
    <w:name w:val="List 4"/>
    <w:basedOn w:val="BodyText"/>
    <w:rsid w:val="001C5AAF"/>
    <w:pPr>
      <w:tabs>
        <w:tab w:val="left" w:pos="1361"/>
      </w:tabs>
      <w:spacing w:before="60" w:after="60"/>
      <w:ind w:left="1361" w:hanging="340"/>
    </w:pPr>
  </w:style>
  <w:style w:type="paragraph" w:styleId="List5">
    <w:name w:val="List 5"/>
    <w:basedOn w:val="BodyText"/>
    <w:rsid w:val="001C5AAF"/>
    <w:pPr>
      <w:tabs>
        <w:tab w:val="left" w:pos="1701"/>
      </w:tabs>
      <w:spacing w:before="60" w:after="60"/>
      <w:ind w:left="1701" w:hanging="340"/>
    </w:pPr>
  </w:style>
  <w:style w:type="paragraph" w:styleId="ListBullet3">
    <w:name w:val="List Bullet 3"/>
    <w:basedOn w:val="List3"/>
    <w:rsid w:val="001C5AAF"/>
    <w:pPr>
      <w:numPr>
        <w:numId w:val="14"/>
      </w:numPr>
      <w:tabs>
        <w:tab w:val="clear" w:pos="1021"/>
      </w:tabs>
      <w:ind w:left="1037" w:hanging="357"/>
    </w:pPr>
  </w:style>
  <w:style w:type="paragraph" w:styleId="ListBullet4">
    <w:name w:val="List Bullet 4"/>
    <w:basedOn w:val="List4"/>
    <w:rsid w:val="001C5AAF"/>
    <w:pPr>
      <w:numPr>
        <w:numId w:val="2"/>
      </w:numPr>
    </w:pPr>
  </w:style>
  <w:style w:type="paragraph" w:styleId="ListBullet5">
    <w:name w:val="List Bullet 5"/>
    <w:basedOn w:val="List5"/>
    <w:rsid w:val="001C5AAF"/>
    <w:pPr>
      <w:numPr>
        <w:numId w:val="3"/>
      </w:numPr>
    </w:pPr>
  </w:style>
  <w:style w:type="paragraph" w:styleId="ListContinue2">
    <w:name w:val="List Continue 2"/>
    <w:basedOn w:val="List2"/>
    <w:rsid w:val="001C5AAF"/>
    <w:pPr>
      <w:ind w:firstLine="0"/>
    </w:pPr>
  </w:style>
  <w:style w:type="paragraph" w:styleId="ListContinue3">
    <w:name w:val="List Continue 3"/>
    <w:basedOn w:val="List3"/>
    <w:rsid w:val="001C5AAF"/>
    <w:pPr>
      <w:ind w:left="1021" w:firstLine="0"/>
    </w:pPr>
  </w:style>
  <w:style w:type="paragraph" w:styleId="ListContinue4">
    <w:name w:val="List Continue 4"/>
    <w:basedOn w:val="List4"/>
    <w:rsid w:val="001C5AAF"/>
    <w:pPr>
      <w:ind w:firstLine="0"/>
    </w:pPr>
  </w:style>
  <w:style w:type="paragraph" w:styleId="ListContinue5">
    <w:name w:val="List Continue 5"/>
    <w:basedOn w:val="List5"/>
    <w:rsid w:val="001C5AAF"/>
    <w:pPr>
      <w:ind w:firstLine="0"/>
    </w:pPr>
  </w:style>
  <w:style w:type="paragraph" w:styleId="ListNumber3">
    <w:name w:val="List Number 3"/>
    <w:basedOn w:val="List3"/>
    <w:rsid w:val="001C5AAF"/>
    <w:pPr>
      <w:numPr>
        <w:numId w:val="4"/>
      </w:numPr>
    </w:pPr>
  </w:style>
  <w:style w:type="paragraph" w:styleId="ListNumber4">
    <w:name w:val="List Number 4"/>
    <w:basedOn w:val="List4"/>
    <w:rsid w:val="001C5AAF"/>
    <w:pPr>
      <w:numPr>
        <w:numId w:val="5"/>
      </w:numPr>
    </w:pPr>
  </w:style>
  <w:style w:type="paragraph" w:styleId="ListNumber5">
    <w:name w:val="List Number 5"/>
    <w:basedOn w:val="List5"/>
    <w:rsid w:val="001C5AAF"/>
    <w:pPr>
      <w:numPr>
        <w:numId w:val="6"/>
      </w:numPr>
    </w:pPr>
  </w:style>
  <w:style w:type="paragraph" w:styleId="BlockText">
    <w:name w:val="Block Text"/>
    <w:basedOn w:val="Normal"/>
    <w:rsid w:val="001C5AAF"/>
    <w:pPr>
      <w:spacing w:after="120"/>
      <w:ind w:left="1440" w:right="1440"/>
    </w:pPr>
  </w:style>
  <w:style w:type="character" w:customStyle="1" w:styleId="Subscript">
    <w:name w:val="Subscript"/>
    <w:basedOn w:val="DefaultParagraphFont"/>
    <w:rsid w:val="001C5AAF"/>
    <w:rPr>
      <w:sz w:val="16"/>
      <w:vertAlign w:val="subscript"/>
    </w:rPr>
  </w:style>
  <w:style w:type="character" w:customStyle="1" w:styleId="Superscript">
    <w:name w:val="Superscript"/>
    <w:basedOn w:val="DefaultParagraphFont"/>
    <w:rsid w:val="001C5AAF"/>
    <w:rPr>
      <w:sz w:val="16"/>
      <w:vertAlign w:val="superscript"/>
    </w:rPr>
  </w:style>
  <w:style w:type="character" w:customStyle="1" w:styleId="Symbols">
    <w:name w:val="Symbols"/>
    <w:basedOn w:val="DefaultParagraphFont"/>
    <w:rsid w:val="001C5AAF"/>
    <w:rPr>
      <w:rFonts w:ascii="Symbol" w:hAnsi="Symbol"/>
    </w:rPr>
  </w:style>
  <w:style w:type="character" w:customStyle="1" w:styleId="MenuOptions">
    <w:name w:val="Menu Options"/>
    <w:basedOn w:val="DefaultParagraphFont"/>
    <w:rsid w:val="001C5AAF"/>
    <w:rPr>
      <w:rFonts w:ascii="Arial Narrow" w:hAnsi="Arial Narrow"/>
      <w:smallCaps/>
    </w:rPr>
  </w:style>
  <w:style w:type="character" w:customStyle="1" w:styleId="Buttons">
    <w:name w:val="Buttons"/>
    <w:basedOn w:val="DefaultParagraphFont"/>
    <w:rsid w:val="001C5AAF"/>
    <w:rPr>
      <w:b/>
    </w:rPr>
  </w:style>
  <w:style w:type="character" w:customStyle="1" w:styleId="Underlined">
    <w:name w:val="Underlined"/>
    <w:basedOn w:val="DefaultParagraphFont"/>
    <w:rsid w:val="001C5AAF"/>
    <w:rPr>
      <w:u w:val="single"/>
    </w:rPr>
  </w:style>
  <w:style w:type="paragraph" w:customStyle="1" w:styleId="TableBodyTextRight">
    <w:name w:val="Table Body Text Right"/>
    <w:basedOn w:val="TableBodyText"/>
    <w:rsid w:val="001C5AAF"/>
    <w:pPr>
      <w:widowControl w:val="0"/>
      <w:autoSpaceDE w:val="0"/>
      <w:autoSpaceDN w:val="0"/>
      <w:adjustRightInd w:val="0"/>
      <w:jc w:val="right"/>
    </w:pPr>
    <w:rPr>
      <w:rFonts w:cs="Arial"/>
      <w:szCs w:val="18"/>
    </w:rPr>
  </w:style>
  <w:style w:type="paragraph" w:customStyle="1" w:styleId="CopyrightText">
    <w:name w:val="Copyright Text"/>
    <w:basedOn w:val="BodyText"/>
    <w:rsid w:val="001C5AAF"/>
    <w:rPr>
      <w:sz w:val="18"/>
    </w:rPr>
  </w:style>
  <w:style w:type="paragraph" w:customStyle="1" w:styleId="BodySmallRight">
    <w:name w:val="Body Small Right"/>
    <w:basedOn w:val="BodyTextRight"/>
    <w:rsid w:val="001C5AAF"/>
    <w:rPr>
      <w:sz w:val="18"/>
      <w:szCs w:val="18"/>
    </w:rPr>
  </w:style>
  <w:style w:type="paragraph" w:customStyle="1" w:styleId="MarginEdition">
    <w:name w:val="Margin Edition"/>
    <w:basedOn w:val="MarginNote"/>
    <w:rsid w:val="001C5AAF"/>
    <w:pPr>
      <w:spacing w:before="0" w:after="0"/>
    </w:pPr>
    <w:rPr>
      <w:rFonts w:ascii="Times New Roman" w:hAnsi="Times New Roman"/>
      <w:color w:val="999999"/>
    </w:rPr>
  </w:style>
  <w:style w:type="paragraph" w:customStyle="1" w:styleId="Spacer">
    <w:name w:val="Spacer"/>
    <w:basedOn w:val="Normal"/>
    <w:rsid w:val="001C5AAF"/>
    <w:rPr>
      <w:sz w:val="2"/>
      <w:szCs w:val="2"/>
    </w:rPr>
  </w:style>
  <w:style w:type="character" w:customStyle="1" w:styleId="Small">
    <w:name w:val="Small"/>
    <w:basedOn w:val="DefaultParagraphFont"/>
    <w:rsid w:val="001C5AAF"/>
    <w:rPr>
      <w:sz w:val="16"/>
    </w:rPr>
  </w:style>
  <w:style w:type="paragraph" w:customStyle="1" w:styleId="WideTable">
    <w:name w:val="Wide Table"/>
    <w:basedOn w:val="Normal"/>
    <w:rsid w:val="001C5AAF"/>
    <w:pPr>
      <w:ind w:left="-1418"/>
    </w:pPr>
    <w:rPr>
      <w:sz w:val="2"/>
      <w:szCs w:val="2"/>
    </w:rPr>
  </w:style>
  <w:style w:type="character" w:styleId="PageNumber">
    <w:name w:val="page number"/>
    <w:basedOn w:val="DefaultParagraphFont"/>
    <w:rsid w:val="001C5AAF"/>
  </w:style>
  <w:style w:type="paragraph" w:styleId="Quote">
    <w:name w:val="Quote"/>
    <w:basedOn w:val="Heading1"/>
    <w:link w:val="QuoteChar"/>
    <w:qFormat/>
    <w:rsid w:val="001C5AAF"/>
    <w:rPr>
      <w:b w:val="0"/>
      <w:sz w:val="72"/>
      <w:szCs w:val="72"/>
      <w:lang w:val="en-NZ"/>
    </w:rPr>
  </w:style>
  <w:style w:type="character" w:customStyle="1" w:styleId="QuoteChar">
    <w:name w:val="Quote Char"/>
    <w:basedOn w:val="DefaultParagraphFont"/>
    <w:link w:val="Quote"/>
    <w:rsid w:val="001C5A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AAF"/>
    <w:pPr>
      <w:pageBreakBefore/>
    </w:pPr>
  </w:style>
  <w:style w:type="paragraph" w:customStyle="1" w:styleId="Border">
    <w:name w:val="Border"/>
    <w:basedOn w:val="Normal"/>
    <w:qFormat/>
    <w:rsid w:val="001C5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AAF"/>
    <w:rPr>
      <w:b/>
      <w:bCs/>
      <w:i/>
      <w:iCs/>
      <w:color w:val="auto"/>
    </w:rPr>
  </w:style>
  <w:style w:type="paragraph" w:styleId="IntenseQuote">
    <w:name w:val="Intense Quote"/>
    <w:basedOn w:val="Normal"/>
    <w:next w:val="Normal"/>
    <w:link w:val="IntenseQuoteChar"/>
    <w:uiPriority w:val="30"/>
    <w:qFormat/>
    <w:rsid w:val="001C5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A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AAF"/>
    <w:rPr>
      <w:smallCaps/>
      <w:color w:val="auto"/>
      <w:u w:val="single"/>
    </w:rPr>
  </w:style>
  <w:style w:type="character" w:styleId="IntenseReference">
    <w:name w:val="Intense Reference"/>
    <w:basedOn w:val="DefaultParagraphFont"/>
    <w:uiPriority w:val="32"/>
    <w:qFormat/>
    <w:rsid w:val="001C5AAF"/>
    <w:rPr>
      <w:b/>
      <w:bCs/>
      <w:smallCaps/>
      <w:color w:val="auto"/>
      <w:spacing w:val="5"/>
      <w:u w:val="single"/>
    </w:rPr>
  </w:style>
  <w:style w:type="paragraph" w:customStyle="1" w:styleId="2ColumnHeading">
    <w:name w:val="2Column Heading"/>
    <w:basedOn w:val="BodyText"/>
    <w:qFormat/>
    <w:rsid w:val="001C5AAF"/>
    <w:pPr>
      <w:spacing w:after="60"/>
      <w:ind w:left="-2268"/>
    </w:pPr>
    <w:rPr>
      <w:b/>
    </w:rPr>
  </w:style>
  <w:style w:type="paragraph" w:customStyle="1" w:styleId="Heading1TOC">
    <w:name w:val="Heading1 TOC"/>
    <w:basedOn w:val="Normal"/>
    <w:qFormat/>
    <w:rsid w:val="001C5AAF"/>
    <w:pPr>
      <w:spacing w:before="240" w:after="120"/>
    </w:pPr>
    <w:rPr>
      <w:rFonts w:ascii="Times New Roman" w:hAnsi="Times New Roman"/>
      <w:b/>
      <w:sz w:val="32"/>
    </w:rPr>
  </w:style>
  <w:style w:type="paragraph" w:customStyle="1" w:styleId="Heading2TOC">
    <w:name w:val="Heading2 TOC"/>
    <w:basedOn w:val="Normal"/>
    <w:qFormat/>
    <w:rsid w:val="001C5AAF"/>
    <w:pPr>
      <w:spacing w:before="240" w:after="60"/>
    </w:pPr>
    <w:rPr>
      <w:rFonts w:ascii="Times New Roman" w:hAnsi="Times New Roman"/>
      <w:b/>
      <w:sz w:val="28"/>
    </w:rPr>
  </w:style>
  <w:style w:type="character" w:customStyle="1" w:styleId="Underline">
    <w:name w:val="Underline"/>
    <w:basedOn w:val="DefaultParagraphFont"/>
    <w:qFormat/>
    <w:rsid w:val="001C5AAF"/>
    <w:rPr>
      <w:u w:val="single"/>
    </w:rPr>
  </w:style>
  <w:style w:type="character" w:customStyle="1" w:styleId="BoldandItalics">
    <w:name w:val="Bold and Italics"/>
    <w:qFormat/>
    <w:rsid w:val="001C5AAF"/>
    <w:rPr>
      <w:b/>
      <w:i/>
      <w:u w:val="none"/>
    </w:rPr>
  </w:style>
  <w:style w:type="paragraph" w:styleId="BalloonText">
    <w:name w:val="Balloon Text"/>
    <w:basedOn w:val="Normal"/>
    <w:link w:val="BalloonTextChar"/>
    <w:rsid w:val="001C5AAF"/>
    <w:rPr>
      <w:rFonts w:ascii="Tahoma" w:hAnsi="Tahoma" w:cs="Tahoma"/>
      <w:sz w:val="16"/>
      <w:szCs w:val="16"/>
    </w:rPr>
  </w:style>
  <w:style w:type="character" w:customStyle="1" w:styleId="BalloonTextChar">
    <w:name w:val="Balloon Text Char"/>
    <w:basedOn w:val="DefaultParagraphFont"/>
    <w:link w:val="BalloonText"/>
    <w:rsid w:val="001C5A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A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A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AAF"/>
    <w:rPr>
      <w:b/>
      <w:color w:val="660033"/>
      <w:spacing w:val="0"/>
    </w:rPr>
  </w:style>
  <w:style w:type="paragraph" w:customStyle="1" w:styleId="Nameditemlist">
    <w:name w:val="Named item list"/>
    <w:basedOn w:val="BodyText"/>
    <w:qFormat/>
    <w:rsid w:val="001C5A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1339</Words>
  <Characters>8908</Characters>
  <Application>Microsoft Office Word</Application>
  <DocSecurity>0</DocSecurity>
  <Lines>258</Lines>
  <Paragraphs>138</Paragraphs>
  <ScaleCrop>false</ScaleCrop>
  <Company>Author-it Software Corporation Ltd.</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AURATA2002 Read and interpret engineering drawings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2013-01-15T09:49:00Z</dcterms:created>
  <dcterms:modified xsi:type="dcterms:W3CDTF">2013-01-15T09:49:00Z</dcterms:modified>
</cp:coreProperties>
</file>