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D6E" w:rsidP="00065D6E">
      <w:pPr>
        <w:pStyle w:val="Title"/>
      </w:pPr>
      <w:bookmarkStart w:id="0" w:name="_GoBack"/>
      <w:bookmarkEnd w:id="0"/>
      <w:r>
        <w:fldChar w:fldCharType="begin"/>
      </w:r>
      <w:r>
        <w:instrText xml:space="preserve"> TITLE   \* MERGEFORMAT </w:instrText>
      </w:r>
      <w:r>
        <w:fldChar w:fldCharType="separate"/>
      </w:r>
      <w:r>
        <w:t>AURV329603BA Apply solid acrylic enamel refinishing materials (two component system)</w:t>
      </w:r>
      <w:r>
        <w:fldChar w:fldCharType="end"/>
      </w:r>
    </w:p>
    <w:p w:rsidR="00065D6E" w:rsidP="00065D6E">
      <w:pPr>
        <w:pStyle w:val="Version"/>
        <w:sectPr w:rsidSect="00AD1E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EF0" w:rsidP="00AD1EF0">
      <w:pPr>
        <w:pStyle w:val="SuperHeading"/>
      </w:pPr>
      <w:r w:rsidRPr="00AD1EF0">
        <w:t>AURV329603BA Apply solid acrylic enamel refinishing materials (two component system)</w:t>
      </w:r>
    </w:p>
    <w:p w:rsidR="00000000" w:rsidRPr="00AD1EF0" w:rsidP="00AD1EF0">
      <w:pPr>
        <w:pStyle w:val="Heading1"/>
      </w:pPr>
      <w:bookmarkStart w:id="1" w:name="O_268784"/>
      <w:bookmarkEnd w:id="1"/>
      <w:r w:rsidRPr="00AD1EF0">
        <w:t>Modification History</w:t>
      </w:r>
    </w:p>
    <w:p w:rsidR="00000000" w:rsidRPr="00AD1EF0" w:rsidP="00AD1EF0">
      <w:pPr>
        <w:pStyle w:val="BodyText"/>
      </w:pPr>
      <w:r w:rsidRPr="00AD1EF0">
        <w:t>Not Applicable</w:t>
      </w:r>
    </w:p>
    <w:p w:rsidR="00000000" w:rsidRPr="00AD1EF0" w:rsidP="00AD1EF0">
      <w:pPr>
        <w:pStyle w:val="AllowPageBreak"/>
      </w:pPr>
    </w:p>
    <w:p w:rsidR="00000000" w:rsidRPr="00AD1EF0" w:rsidP="00AD1EF0">
      <w:pPr>
        <w:pStyle w:val="Heading1"/>
      </w:pPr>
      <w:bookmarkStart w:id="2" w:name="O_194631"/>
      <w:bookmarkEnd w:id="2"/>
      <w:r w:rsidRPr="00AD1EF0">
        <w:t>Unit Descrip</w:t>
      </w:r>
      <w:r w:rsidRPr="00AD1EF0">
        <w:t>tor</w:t>
      </w:r>
    </w:p>
    <w:tbl>
      <w:tblPr>
        <w:tblW w:w="0" w:type="auto"/>
        <w:tblLayout w:type="fixed"/>
        <w:tblCellMar>
          <w:left w:w="62" w:type="dxa"/>
          <w:right w:w="62" w:type="dxa"/>
        </w:tblCellMar>
        <w:tblLook w:val="0000"/>
      </w:tblPr>
      <w:tblGrid>
        <w:gridCol w:w="2671"/>
        <w:gridCol w:w="5851"/>
      </w:tblGrid>
      <w:tr w:rsidTr="00065D6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BodyText"/>
            </w:pPr>
            <w:r w:rsidRPr="00AD1EF0">
              <w:t xml:space="preserve">This unit covers the competence required to apply solid acrylic enamel refinishing materials (two component system) to a variety of vehicle substrates by spray gun application and determine causes and apply rectification procedures for </w:t>
            </w:r>
            <w:r w:rsidRPr="00AD1EF0">
              <w:t>paint finish faults.</w:t>
            </w:r>
          </w:p>
        </w:tc>
      </w:tr>
    </w:tbl>
    <w:p w:rsidR="00065D6E" w:rsidP="00AD1EF0">
      <w:pPr>
        <w:pStyle w:val="BodyText"/>
      </w:pPr>
    </w:p>
    <w:p w:rsidR="00065D6E" w:rsidP="00AD1EF0">
      <w:pPr>
        <w:pStyle w:val="BodyText"/>
      </w:pPr>
    </w:p>
    <w:p w:rsidR="00000000" w:rsidRPr="00AD1EF0" w:rsidP="00AD1EF0">
      <w:pPr>
        <w:pStyle w:val="Heading1"/>
      </w:pPr>
      <w:bookmarkStart w:id="3" w:name="O_194635"/>
      <w:bookmarkEnd w:id="3"/>
      <w:r w:rsidRPr="00AD1EF0">
        <w:t>Application of the Unit</w:t>
      </w:r>
    </w:p>
    <w:tbl>
      <w:tblPr>
        <w:tblW w:w="0" w:type="auto"/>
        <w:tblLayout w:type="fixed"/>
        <w:tblCellMar>
          <w:left w:w="62" w:type="dxa"/>
          <w:right w:w="62" w:type="dxa"/>
        </w:tblCellMar>
        <w:tblLook w:val="0000"/>
      </w:tblPr>
      <w:tblGrid>
        <w:gridCol w:w="2747"/>
        <w:gridCol w:w="5775"/>
      </w:tblGrid>
      <w:tr w:rsidTr="00065D6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BodyText"/>
            </w:pPr>
            <w:r w:rsidRPr="00AD1EF0">
              <w:t xml:space="preserve">The unit includes identification and confirmation of work requirement, preparation for work, application of materials, the rectification of </w:t>
            </w:r>
            <w:r w:rsidRPr="00AD1EF0">
              <w:t>faults and completion of work finalisation processes, including clean-up and documentation.</w:t>
            </w:r>
          </w:p>
          <w:p w:rsidR="00000000" w:rsidRPr="00AD1EF0" w:rsidP="00AD1EF0">
            <w:pPr>
              <w:pStyle w:val="BodyText"/>
            </w:pPr>
            <w:r w:rsidRPr="00AD1EF0">
              <w:t>Work requires individuals to demonstrate judgement and problem-solving skills in managing own work activities and contributing to a productive team environment.</w:t>
            </w:r>
          </w:p>
          <w:p w:rsidR="00000000" w:rsidRPr="00AD1EF0" w:rsidP="00AD1EF0">
            <w:pPr>
              <w:pStyle w:val="BodyText"/>
            </w:pPr>
            <w:r w:rsidRPr="00AD1EF0">
              <w:t>Wor</w:t>
            </w:r>
            <w:r w:rsidRPr="00AD1EF0">
              <w:t>k is carried out in accordance with award provisions.</w:t>
            </w:r>
          </w:p>
        </w:tc>
      </w:tr>
    </w:tbl>
    <w:p w:rsidR="00065D6E" w:rsidP="00AD1EF0">
      <w:pPr>
        <w:pStyle w:val="BodyText"/>
      </w:pPr>
    </w:p>
    <w:p w:rsidR="00065D6E" w:rsidP="00AD1EF0">
      <w:pPr>
        <w:pStyle w:val="BodyText"/>
      </w:pPr>
    </w:p>
    <w:p w:rsidR="00000000" w:rsidRPr="00AD1EF0" w:rsidP="00AD1EF0">
      <w:pPr>
        <w:pStyle w:val="Heading1"/>
      </w:pPr>
      <w:bookmarkStart w:id="4" w:name="O_277044"/>
      <w:bookmarkEnd w:id="4"/>
      <w:r w:rsidRPr="00AD1EF0">
        <w:t>Licensing/Regulatory Information</w:t>
      </w:r>
    </w:p>
    <w:p w:rsidR="00000000" w:rsidRPr="00AD1EF0" w:rsidP="00AD1EF0">
      <w:pPr>
        <w:pStyle w:val="BodyText"/>
      </w:pPr>
      <w:r w:rsidRPr="00AD1EF0">
        <w:t>Not Applicable</w:t>
      </w:r>
    </w:p>
    <w:p w:rsidR="00000000" w:rsidRPr="00AD1EF0" w:rsidP="00AD1EF0">
      <w:pPr>
        <w:pStyle w:val="AllowPageBreak"/>
      </w:pPr>
    </w:p>
    <w:p w:rsidR="00000000" w:rsidRPr="00AD1EF0" w:rsidP="00AD1EF0">
      <w:pPr>
        <w:pStyle w:val="Heading1"/>
      </w:pPr>
      <w:bookmarkStart w:id="5" w:name="O_194633"/>
      <w:bookmarkEnd w:id="5"/>
      <w:r w:rsidRPr="00AD1EF0">
        <w:t>Pre-Requisites</w:t>
      </w:r>
    </w:p>
    <w:tbl>
      <w:tblPr>
        <w:tblW w:w="0" w:type="auto"/>
        <w:tblLayout w:type="fixed"/>
        <w:tblCellMar>
          <w:left w:w="62" w:type="dxa"/>
          <w:right w:w="62" w:type="dxa"/>
        </w:tblCellMar>
        <w:tblLook w:val="0000"/>
      </w:tblPr>
      <w:tblGrid>
        <w:gridCol w:w="2775"/>
        <w:gridCol w:w="1295"/>
        <w:gridCol w:w="4452"/>
      </w:tblGrid>
      <w:tr w:rsidTr="00065D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p>
        </w:tc>
      </w:tr>
      <w:tr w:rsidTr="00065D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p>
        </w:tc>
      </w:tr>
      <w:tr w:rsidTr="00065D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BodyText"/>
            </w:pPr>
          </w:p>
        </w:tc>
      </w:tr>
    </w:tbl>
    <w:p w:rsidR="00065D6E" w:rsidP="00AD1EF0">
      <w:pPr>
        <w:pStyle w:val="BodyText"/>
      </w:pPr>
    </w:p>
    <w:p w:rsidR="00065D6E" w:rsidP="00AD1EF0">
      <w:pPr>
        <w:pStyle w:val="BodyText"/>
      </w:pPr>
    </w:p>
    <w:p w:rsidR="00000000" w:rsidRPr="00AD1EF0" w:rsidP="00AD1EF0">
      <w:pPr>
        <w:pStyle w:val="Heading1"/>
      </w:pPr>
      <w:bookmarkStart w:id="6" w:name="O_194632"/>
      <w:bookmarkEnd w:id="6"/>
      <w:r w:rsidRPr="00AD1EF0">
        <w:t>Employability Skills Information</w:t>
      </w:r>
    </w:p>
    <w:tbl>
      <w:tblPr>
        <w:tblW w:w="0" w:type="auto"/>
        <w:tblLayout w:type="fixed"/>
        <w:tblCellMar>
          <w:left w:w="62" w:type="dxa"/>
          <w:right w:w="62" w:type="dxa"/>
        </w:tblCellMar>
        <w:tblLook w:val="0000"/>
      </w:tblPr>
      <w:tblGrid>
        <w:gridCol w:w="2802"/>
        <w:gridCol w:w="5720"/>
      </w:tblGrid>
      <w:tr w:rsidTr="00065D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BodyText"/>
            </w:pPr>
            <w:r w:rsidRPr="00AD1EF0">
              <w:t>This unit contains employability skills.</w:t>
            </w:r>
          </w:p>
        </w:tc>
      </w:tr>
    </w:tbl>
    <w:p w:rsidR="00065D6E" w:rsidP="00AD1EF0">
      <w:pPr>
        <w:pStyle w:val="BodyText"/>
      </w:pPr>
    </w:p>
    <w:p w:rsidR="00065D6E" w:rsidP="00AD1EF0">
      <w:pPr>
        <w:pStyle w:val="BodyText"/>
      </w:pPr>
    </w:p>
    <w:p w:rsidR="00000000" w:rsidRPr="00AD1EF0" w:rsidP="00AD1EF0">
      <w:pPr>
        <w:pStyle w:val="Heading1"/>
      </w:pPr>
      <w:bookmarkStart w:id="7" w:name="O_286830"/>
      <w:bookmarkEnd w:id="7"/>
      <w:r w:rsidRPr="00AD1EF0">
        <w:t>Elements and Performance Criteria Pre-Content</w:t>
      </w:r>
    </w:p>
    <w:tbl>
      <w:tblPr>
        <w:tblW w:w="0" w:type="auto"/>
        <w:tblLayout w:type="fixed"/>
        <w:tblCellMar>
          <w:left w:w="62" w:type="dxa"/>
          <w:right w:w="62" w:type="dxa"/>
        </w:tblCellMar>
        <w:tblLook w:val="0000"/>
      </w:tblPr>
      <w:tblGrid>
        <w:gridCol w:w="2516"/>
        <w:gridCol w:w="6006"/>
      </w:tblGrid>
      <w:tr w:rsidTr="00065D6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BodyText"/>
            </w:pPr>
            <w:r w:rsidRPr="00AD1EF0">
              <w:t>Performance criteria describe the performance needed to demonstrate achievement of</w:t>
            </w:r>
            <w:r w:rsidRPr="00AD1EF0">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AD1EF0" w:rsidP="00AD1EF0">
      <w:pPr>
        <w:pStyle w:val="BodyText"/>
      </w:pPr>
    </w:p>
    <w:p w:rsidR="00000000" w:rsidRPr="00AD1EF0" w:rsidP="00AD1EF0">
      <w:pPr>
        <w:pStyle w:val="AllowPageBreak"/>
      </w:pPr>
    </w:p>
    <w:p w:rsidR="00000000" w:rsidRPr="00AD1EF0" w:rsidP="00AD1EF0">
      <w:pPr>
        <w:pStyle w:val="Heading1"/>
      </w:pPr>
      <w:bookmarkStart w:id="8" w:name="O_233497"/>
      <w:bookmarkEnd w:id="8"/>
      <w:r w:rsidRPr="00AD1EF0">
        <w:t>Elements and Performance Criteria</w:t>
      </w:r>
    </w:p>
    <w:tbl>
      <w:tblPr>
        <w:tblW w:w="0" w:type="auto"/>
        <w:tblLayout w:type="fixed"/>
        <w:tblCellMar>
          <w:left w:w="62" w:type="dxa"/>
          <w:right w:w="62" w:type="dxa"/>
        </w:tblCellMar>
        <w:tblLook w:val="0000"/>
      </w:tblPr>
      <w:tblGrid>
        <w:gridCol w:w="2516"/>
        <w:gridCol w:w="6006"/>
      </w:tblGrid>
      <w:tr w:rsidTr="00065D6E">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BodyText"/>
            </w:pPr>
            <w:r w:rsidRPr="00AD1EF0">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PERFORMANCE CRITERIA</w:t>
            </w:r>
          </w:p>
        </w:tc>
      </w:tr>
      <w:tr w:rsidTr="00065D6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List"/>
              <w:rPr>
                <w:lang w:val="en-NZ"/>
              </w:rPr>
            </w:pPr>
            <w:r w:rsidRPr="00AD1EF0">
              <w:t>1.</w:t>
            </w:r>
            <w:r w:rsidRPr="00AD1EF0">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List2"/>
            </w:pPr>
            <w:r w:rsidRPr="00AD1EF0">
              <w:t>1.1.</w:t>
            </w:r>
            <w:r w:rsidRPr="00AD1EF0">
              <w:tab/>
              <w:t>Work instructions are used to determine the job requirements, including job sheets, material type, colour, quality and quantity.</w:t>
            </w:r>
          </w:p>
          <w:p w:rsidR="00000000" w:rsidRPr="00AD1EF0" w:rsidP="00AD1EF0">
            <w:pPr>
              <w:pStyle w:val="List2"/>
            </w:pPr>
            <w:r w:rsidRPr="00AD1EF0">
              <w:t>1.2.</w:t>
            </w:r>
            <w:r w:rsidRPr="00AD1EF0">
              <w:tab/>
              <w:t>Job specifications are read and i</w:t>
            </w:r>
            <w:r w:rsidRPr="00AD1EF0">
              <w:t>nterpreted.</w:t>
            </w:r>
          </w:p>
          <w:p w:rsidR="00000000" w:rsidRPr="00AD1EF0" w:rsidP="00AD1EF0">
            <w:pPr>
              <w:pStyle w:val="List2"/>
            </w:pPr>
            <w:r w:rsidRPr="00AD1EF0">
              <w:t>1.3.</w:t>
            </w:r>
            <w:r w:rsidRPr="00AD1EF0">
              <w:tab/>
              <w:t>OH&amp;S requirements, including personal protection needs, breathing apparatus and full body protection, are observed throughout the work.</w:t>
            </w:r>
          </w:p>
          <w:p w:rsidR="00000000" w:rsidRPr="00AD1EF0" w:rsidP="00AD1EF0">
            <w:pPr>
              <w:pStyle w:val="List2"/>
            </w:pPr>
            <w:r w:rsidRPr="00AD1EF0">
              <w:t>1.4.</w:t>
            </w:r>
            <w:r w:rsidRPr="00AD1EF0">
              <w:tab/>
              <w:t>Materials are selected and inspected for quality.</w:t>
            </w:r>
          </w:p>
          <w:p w:rsidR="00000000" w:rsidRPr="00AD1EF0" w:rsidP="00AD1EF0">
            <w:pPr>
              <w:pStyle w:val="List2"/>
            </w:pPr>
            <w:r w:rsidRPr="00AD1EF0">
              <w:t>1.5.</w:t>
            </w:r>
            <w:r w:rsidRPr="00AD1EF0">
              <w:tab/>
              <w:t>Hand tooling and safety equipment are ident</w:t>
            </w:r>
            <w:r w:rsidRPr="00AD1EF0">
              <w:t>ified and checked for operation.</w:t>
            </w:r>
          </w:p>
          <w:p w:rsidR="00000000" w:rsidRPr="00AD1EF0" w:rsidP="00AD1EF0">
            <w:pPr>
              <w:pStyle w:val="List2"/>
            </w:pPr>
            <w:r w:rsidRPr="00AD1EF0">
              <w:t>1.6.</w:t>
            </w:r>
            <w:r w:rsidRPr="00AD1EF0">
              <w:tab/>
              <w:t>Procedures are determined to minimise waste material.</w:t>
            </w:r>
          </w:p>
          <w:p w:rsidR="00000000" w:rsidP="00AD1EF0">
            <w:pPr>
              <w:pStyle w:val="List2"/>
              <w:rPr>
                <w:lang w:val="en-NZ"/>
              </w:rPr>
            </w:pPr>
            <w:r w:rsidRPr="00AD1EF0">
              <w:t>1.7.</w:t>
            </w:r>
            <w:r w:rsidRPr="00AD1EF0">
              <w:tab/>
              <w:t>Procedures are identified for maximising energy efficiency while completing the job.</w:t>
            </w:r>
          </w:p>
        </w:tc>
      </w:tr>
      <w:tr w:rsidTr="00065D6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List"/>
              <w:rPr>
                <w:lang w:val="en-NZ"/>
              </w:rPr>
            </w:pPr>
            <w:r w:rsidRPr="00AD1EF0">
              <w:t>2.</w:t>
            </w:r>
            <w:r w:rsidRPr="00AD1EF0">
              <w:tab/>
              <w:t>Apply solid acrylic enamel refinishing materials by spray gun</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List2"/>
            </w:pPr>
            <w:r w:rsidRPr="00AD1EF0">
              <w:t>2.1.</w:t>
            </w:r>
            <w:r w:rsidRPr="00AD1EF0">
              <w:tab/>
            </w:r>
            <w:r w:rsidRPr="00AD1EF0">
              <w:t>The environment for application of refinishing materials conforms to requirements for temperature, extraction of fumes and cleanliness.</w:t>
            </w:r>
          </w:p>
          <w:p w:rsidR="00000000" w:rsidRPr="00AD1EF0" w:rsidP="00AD1EF0">
            <w:pPr>
              <w:pStyle w:val="List2"/>
            </w:pPr>
            <w:r w:rsidRPr="00AD1EF0">
              <w:t>2.2.</w:t>
            </w:r>
            <w:r w:rsidRPr="00AD1EF0">
              <w:tab/>
              <w:t>Refinishing materials are applied at manufacturer/ component supplier recommended intervals using approved methods.</w:t>
            </w:r>
          </w:p>
          <w:p w:rsidR="00000000" w:rsidRPr="00AD1EF0" w:rsidP="00AD1EF0">
            <w:pPr>
              <w:pStyle w:val="List2"/>
            </w:pPr>
            <w:r w:rsidRPr="00AD1EF0">
              <w:t>2.3.</w:t>
            </w:r>
            <w:r w:rsidRPr="00AD1EF0">
              <w:tab/>
              <w:t>Refinishing materials are dried using approved methods and equipment.</w:t>
            </w:r>
          </w:p>
          <w:p w:rsidR="00000000" w:rsidRPr="00AD1EF0" w:rsidP="00AD1EF0">
            <w:pPr>
              <w:pStyle w:val="List2"/>
            </w:pPr>
            <w:r w:rsidRPr="00AD1EF0">
              <w:t>2.4.</w:t>
            </w:r>
            <w:r w:rsidRPr="00AD1EF0">
              <w:tab/>
              <w:t>Paint film surface faults are removed using compounds, polishes and glazes.</w:t>
            </w:r>
          </w:p>
          <w:p w:rsidR="00000000" w:rsidRPr="00AD1EF0" w:rsidP="00AD1EF0">
            <w:pPr>
              <w:pStyle w:val="List2"/>
            </w:pPr>
            <w:r w:rsidRPr="00AD1EF0">
              <w:t>2.5.</w:t>
            </w:r>
            <w:r w:rsidRPr="00AD1EF0">
              <w:tab/>
              <w:t xml:space="preserve">Refinishing materials are applied without causing damage to any component or system. </w:t>
            </w:r>
          </w:p>
          <w:p w:rsidR="00000000" w:rsidRPr="00AD1EF0" w:rsidP="00AD1EF0">
            <w:pPr>
              <w:pStyle w:val="List2"/>
            </w:pPr>
            <w:r w:rsidRPr="00AD1EF0">
              <w:t>2.6.</w:t>
            </w:r>
            <w:r w:rsidRPr="00AD1EF0">
              <w:tab/>
              <w:t>The</w:t>
            </w:r>
            <w:r w:rsidRPr="00AD1EF0">
              <w:t xml:space="preserve"> finish produced meets specifications for colour, texture, depth and gloss and is contaminant-free, blending into the surrounding surfaces.</w:t>
            </w:r>
          </w:p>
          <w:p w:rsidR="00000000" w:rsidRPr="00AD1EF0" w:rsidP="00AD1EF0">
            <w:pPr>
              <w:pStyle w:val="List2"/>
            </w:pPr>
            <w:r w:rsidRPr="00AD1EF0">
              <w:t>2.7.</w:t>
            </w:r>
            <w:r w:rsidRPr="00AD1EF0">
              <w:tab/>
              <w:t>Surface refinishing is completed within approved timeframes.</w:t>
            </w:r>
          </w:p>
          <w:p w:rsidR="00000000" w:rsidP="00AD1EF0">
            <w:pPr>
              <w:pStyle w:val="List2"/>
              <w:rPr>
                <w:lang w:val="en-NZ"/>
              </w:rPr>
            </w:pPr>
            <w:r w:rsidRPr="00AD1EF0">
              <w:t>2.8.</w:t>
            </w:r>
            <w:r w:rsidRPr="00AD1EF0">
              <w:tab/>
              <w:t>Application activities are carried out accord</w:t>
            </w:r>
            <w:r w:rsidRPr="00AD1EF0">
              <w:t>ing to industry regulations/guidelines, OH&amp;S legislation, and enterprise procedures/policies.</w:t>
            </w:r>
          </w:p>
        </w:tc>
      </w:tr>
      <w:tr w:rsidTr="00065D6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List"/>
              <w:rPr>
                <w:lang w:val="en-NZ"/>
              </w:rPr>
            </w:pPr>
            <w:r w:rsidRPr="00AD1EF0">
              <w:t>3.</w:t>
            </w:r>
            <w:r w:rsidRPr="00AD1EF0">
              <w:tab/>
              <w:t xml:space="preserve">Identify paint faults, causes and rectification procedures </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List2"/>
            </w:pPr>
            <w:r w:rsidRPr="00AD1EF0">
              <w:t>3.1.</w:t>
            </w:r>
            <w:r w:rsidRPr="00AD1EF0">
              <w:tab/>
              <w:t>Paint faults are identified according to industry and workplace procedures.</w:t>
            </w:r>
          </w:p>
          <w:p w:rsidR="00000000" w:rsidRPr="00AD1EF0" w:rsidP="00AD1EF0">
            <w:pPr>
              <w:pStyle w:val="List2"/>
            </w:pPr>
            <w:r w:rsidRPr="00AD1EF0">
              <w:t>3.2.</w:t>
            </w:r>
            <w:r w:rsidRPr="00AD1EF0">
              <w:tab/>
              <w:t xml:space="preserve">Paint fault </w:t>
            </w:r>
            <w:r w:rsidRPr="00AD1EF0">
              <w:t>causes are determined according to industry and workplace procedures.</w:t>
            </w:r>
          </w:p>
          <w:p w:rsidR="00000000" w:rsidRPr="00AD1EF0" w:rsidP="00AD1EF0">
            <w:pPr>
              <w:pStyle w:val="List2"/>
            </w:pPr>
            <w:r w:rsidRPr="00AD1EF0">
              <w:t>3.3.</w:t>
            </w:r>
            <w:r w:rsidRPr="00AD1EF0">
              <w:tab/>
              <w:t>Rectification procedures are determined according to fault and type of finish material, industry standard practices and workplace requirements.</w:t>
            </w:r>
          </w:p>
          <w:p w:rsidR="00000000" w:rsidP="00AD1EF0">
            <w:pPr>
              <w:pStyle w:val="List2"/>
              <w:rPr>
                <w:lang w:val="en-NZ"/>
              </w:rPr>
            </w:pPr>
            <w:r w:rsidRPr="00AD1EF0">
              <w:t>3.4.</w:t>
            </w:r>
            <w:r w:rsidRPr="00AD1EF0">
              <w:tab/>
              <w:t>Identification of faults and rec</w:t>
            </w:r>
            <w:r w:rsidRPr="00AD1EF0">
              <w:t>tification are carried out according to industry regulations/guidelines, OH&amp;S legislation, and enterprise procedures/policies.</w:t>
            </w:r>
          </w:p>
        </w:tc>
      </w:tr>
      <w:tr w:rsidTr="00065D6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List"/>
              <w:rPr>
                <w:lang w:val="en-NZ"/>
              </w:rPr>
            </w:pPr>
            <w:r w:rsidRPr="00AD1EF0">
              <w:t>4.</w:t>
            </w:r>
            <w:r w:rsidRPr="00AD1EF0">
              <w:tab/>
              <w:t>Rectify and touch up paint faults of solid (two component system) paint materials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List2"/>
            </w:pPr>
            <w:r w:rsidRPr="00AD1EF0">
              <w:t>4.1.</w:t>
            </w:r>
            <w:r w:rsidRPr="00AD1EF0">
              <w:tab/>
              <w:t>Materials to restore paintwork to as-n</w:t>
            </w:r>
            <w:r w:rsidRPr="00AD1EF0">
              <w:t>ew condition are determined from industry and manufacturer/component supplier standards.</w:t>
            </w:r>
          </w:p>
          <w:p w:rsidR="00000000" w:rsidRPr="00AD1EF0" w:rsidP="00AD1EF0">
            <w:pPr>
              <w:pStyle w:val="List2"/>
            </w:pPr>
            <w:r w:rsidRPr="00AD1EF0">
              <w:t>4.2.</w:t>
            </w:r>
            <w:r w:rsidRPr="00AD1EF0">
              <w:tab/>
              <w:t>Damaged paintwork is rectified to blend with existing paintwork on vehicle.</w:t>
            </w:r>
          </w:p>
          <w:p w:rsidR="00000000" w:rsidRPr="00AD1EF0" w:rsidP="00AD1EF0">
            <w:pPr>
              <w:pStyle w:val="List2"/>
            </w:pPr>
            <w:r w:rsidRPr="00AD1EF0">
              <w:t>4.3.</w:t>
            </w:r>
            <w:r w:rsidRPr="00AD1EF0">
              <w:tab/>
            </w:r>
            <w:r w:rsidRPr="00AD1EF0">
              <w:t>All rectification operations are carried out according to industry regulations/guidelines, OH&amp;S legislation, and enterprise procedures/policies.</w:t>
            </w:r>
          </w:p>
          <w:p w:rsidR="00000000" w:rsidP="00AD1EF0">
            <w:pPr>
              <w:pStyle w:val="List2"/>
              <w:rPr>
                <w:lang w:val="en-NZ"/>
              </w:rPr>
            </w:pPr>
            <w:r w:rsidRPr="00AD1EF0">
              <w:t>4.4.</w:t>
            </w:r>
            <w:r w:rsidRPr="00AD1EF0">
              <w:tab/>
              <w:t>Paint faults are rectified without causing damage to any component or system.</w:t>
            </w:r>
          </w:p>
        </w:tc>
      </w:tr>
      <w:tr w:rsidTr="00065D6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List"/>
              <w:rPr>
                <w:lang w:val="en-NZ"/>
              </w:rPr>
            </w:pPr>
            <w:r w:rsidRPr="00AD1EF0">
              <w:t>5.</w:t>
            </w:r>
            <w:r w:rsidRPr="00AD1EF0">
              <w:tab/>
              <w:t>Clean up work area and m</w:t>
            </w:r>
            <w:r w:rsidRPr="00AD1EF0">
              <w:t>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List2"/>
            </w:pPr>
            <w:r w:rsidRPr="00AD1EF0">
              <w:t>5.1.</w:t>
            </w:r>
            <w:r w:rsidRPr="00AD1EF0">
              <w:tab/>
              <w:t>Material that can be reused is collected and stored.</w:t>
            </w:r>
          </w:p>
          <w:p w:rsidR="00000000" w:rsidRPr="00AD1EF0" w:rsidP="00AD1EF0">
            <w:pPr>
              <w:pStyle w:val="List2"/>
            </w:pPr>
            <w:r w:rsidRPr="00AD1EF0">
              <w:t>5.2.</w:t>
            </w:r>
            <w:r w:rsidRPr="00AD1EF0">
              <w:tab/>
              <w:t>Waste material is removed and disposed of or stored according to statutory and workplace procedures.</w:t>
            </w:r>
          </w:p>
          <w:p w:rsidR="00000000" w:rsidRPr="00AD1EF0" w:rsidP="00AD1EF0">
            <w:pPr>
              <w:pStyle w:val="List2"/>
            </w:pPr>
            <w:r w:rsidRPr="00AD1EF0">
              <w:t>5.3.</w:t>
            </w:r>
            <w:r w:rsidRPr="00AD1EF0">
              <w:tab/>
              <w:t>Spray equipment is cleaned according to manufacturer/ component suppl</w:t>
            </w:r>
            <w:r w:rsidRPr="00AD1EF0">
              <w:t>ier and/or workplace policy and procedures.</w:t>
            </w:r>
          </w:p>
          <w:p w:rsidR="00000000" w:rsidRPr="00AD1EF0" w:rsidP="00AD1EF0">
            <w:pPr>
              <w:pStyle w:val="List2"/>
            </w:pPr>
            <w:r w:rsidRPr="00AD1EF0">
              <w:t>5.4.</w:t>
            </w:r>
            <w:r w:rsidRPr="00AD1EF0">
              <w:tab/>
              <w:t>Work area is cleaned and inspected for serviceable condition in accordance with workplace procedures.</w:t>
            </w:r>
          </w:p>
          <w:p w:rsidR="00000000" w:rsidRPr="00AD1EF0" w:rsidP="00AD1EF0">
            <w:pPr>
              <w:pStyle w:val="List2"/>
            </w:pPr>
            <w:r w:rsidRPr="00AD1EF0">
              <w:t>5.5.</w:t>
            </w:r>
            <w:r w:rsidRPr="00AD1EF0">
              <w:tab/>
              <w:t xml:space="preserve">Unserviceable equipment is tagged and faults identified in accordance with workplace procedures. </w:t>
            </w:r>
          </w:p>
          <w:p w:rsidR="00000000" w:rsidRPr="00AD1EF0" w:rsidP="00AD1EF0">
            <w:pPr>
              <w:pStyle w:val="List2"/>
            </w:pPr>
            <w:r w:rsidRPr="00AD1EF0">
              <w:t>5.</w:t>
            </w:r>
            <w:r w:rsidRPr="00AD1EF0">
              <w:t>6.</w:t>
            </w:r>
            <w:r w:rsidRPr="00AD1EF0">
              <w:tab/>
              <w:t>Operator maintenance is completed in accordance with manufacturer/component supplier specifications and worksite procedures.</w:t>
            </w:r>
          </w:p>
          <w:p w:rsidR="00000000" w:rsidRPr="00AD1EF0" w:rsidP="00AD1EF0">
            <w:pPr>
              <w:pStyle w:val="List2"/>
            </w:pPr>
            <w:r w:rsidRPr="00AD1EF0">
              <w:t>5.7.</w:t>
            </w:r>
            <w:r w:rsidRPr="00AD1EF0">
              <w:tab/>
              <w:t>Tooling is maintained in accordance with workplace procedures.</w:t>
            </w:r>
          </w:p>
        </w:tc>
      </w:tr>
    </w:tbl>
    <w:p w:rsidR="00065D6E" w:rsidP="00AD1EF0">
      <w:pPr>
        <w:pStyle w:val="BodyText"/>
      </w:pPr>
    </w:p>
    <w:p w:rsidR="00065D6E" w:rsidP="00AD1EF0">
      <w:pPr>
        <w:pStyle w:val="BodyText"/>
      </w:pPr>
    </w:p>
    <w:p w:rsidR="00000000" w:rsidRPr="00AD1EF0" w:rsidP="00AD1EF0">
      <w:pPr>
        <w:pStyle w:val="Heading1"/>
      </w:pPr>
      <w:bookmarkStart w:id="9" w:name="O_257447"/>
      <w:bookmarkEnd w:id="9"/>
      <w:r w:rsidRPr="00AD1EF0">
        <w:t>Required Skills and Knowledge</w:t>
      </w:r>
    </w:p>
    <w:tbl>
      <w:tblPr>
        <w:tblW w:w="0" w:type="auto"/>
        <w:tblLayout w:type="fixed"/>
        <w:tblCellMar>
          <w:left w:w="62" w:type="dxa"/>
          <w:right w:w="62" w:type="dxa"/>
        </w:tblCellMar>
        <w:tblLook w:val="0000"/>
      </w:tblPr>
      <w:tblGrid>
        <w:gridCol w:w="8522"/>
      </w:tblGrid>
      <w:tr w:rsidTr="00065D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REQUIRED SKILLS AND KNOWLEDGE</w:t>
            </w:r>
          </w:p>
        </w:tc>
      </w:tr>
      <w:tr w:rsidTr="00065D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t>This section describes the skills and knowledge required for this unit.</w:t>
            </w:r>
          </w:p>
        </w:tc>
      </w:tr>
      <w:tr w:rsidTr="00065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Required skills</w:t>
            </w:r>
          </w:p>
        </w:tc>
      </w:tr>
      <w:tr w:rsidTr="00065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ListBullet"/>
            </w:pPr>
            <w:r w:rsidRPr="00AD1EF0">
              <w:t>collect, organise and understand informa</w:t>
            </w:r>
            <w:r w:rsidRPr="00AD1EF0">
              <w:t>tion related to work orders, plans and safety procedures for applying solid acrylic enamel refinishing materials (two component system)</w:t>
            </w:r>
          </w:p>
          <w:p w:rsidR="00000000" w:rsidRPr="00AD1EF0" w:rsidP="00AD1EF0">
            <w:pPr>
              <w:pStyle w:val="ListBullet"/>
            </w:pPr>
            <w:r w:rsidRPr="00AD1EF0">
              <w:t>communicate ideas and information to enable confirmation of work requirements and specifications, coordination of work w</w:t>
            </w:r>
            <w:r w:rsidRPr="00AD1EF0">
              <w:t>ith worksite supervisor, other workers and customers, and the reporting of work outcomes and problems</w:t>
            </w:r>
          </w:p>
          <w:p w:rsidR="00000000" w:rsidRPr="00AD1EF0" w:rsidP="00AD1EF0">
            <w:pPr>
              <w:pStyle w:val="ListBullet"/>
            </w:pPr>
            <w:r w:rsidRPr="00AD1EF0">
              <w:t>plan and organise activities, including preparation and layout of worksite and obtaining of equipment and materials to avoid backtracking, workflow interr</w:t>
            </w:r>
            <w:r w:rsidRPr="00AD1EF0">
              <w:t>uptions or wastage</w:t>
            </w:r>
          </w:p>
          <w:p w:rsidR="00000000" w:rsidRPr="00AD1EF0" w:rsidP="00AD1EF0">
            <w:pPr>
              <w:pStyle w:val="ListBullet"/>
            </w:pPr>
            <w:r w:rsidRPr="00AD1EF0">
              <w:t>work with others and in a team by recognising dependencies and using cooperative approaches to optimise workflow and productivity</w:t>
            </w:r>
          </w:p>
          <w:p w:rsidR="00000000" w:rsidRPr="00AD1EF0" w:rsidP="00AD1EF0">
            <w:pPr>
              <w:pStyle w:val="ListBullet"/>
            </w:pPr>
            <w:r w:rsidRPr="00AD1EF0">
              <w:t>establish safe and effective work processes which anticipate and/or resolve problems and downtime, to syste</w:t>
            </w:r>
            <w:r w:rsidRPr="00AD1EF0">
              <w:t>matically develop solutions to avoid or minimise reworking and avoid wastage</w:t>
            </w:r>
          </w:p>
          <w:p w:rsidR="00000000" w:rsidRPr="00AD1EF0" w:rsidP="00AD1EF0">
            <w:pPr>
              <w:pStyle w:val="ListBullet"/>
            </w:pPr>
            <w:r w:rsidRPr="00AD1EF0">
              <w:t>use mathematical ideas and techniques to calculate time, apply accurate measurements, calculate material requirements and establish quality checks</w:t>
            </w:r>
          </w:p>
          <w:p w:rsidR="00000000" w:rsidP="00AD1EF0">
            <w:pPr>
              <w:pStyle w:val="ListBullet"/>
              <w:rPr>
                <w:lang w:val="en-NZ"/>
              </w:rPr>
            </w:pPr>
            <w:r w:rsidRPr="00AD1EF0">
              <w:t>use workplace technology related</w:t>
            </w:r>
            <w:r w:rsidRPr="00AD1EF0">
              <w:t xml:space="preserve"> to application of solid acrylic enamel refinishing materials, including the use of specialist equipments, measuring equipment and communication devices and the reporting/recording of results</w:t>
            </w:r>
          </w:p>
        </w:tc>
      </w:tr>
      <w:tr w:rsidTr="00065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Required knowledge</w:t>
            </w:r>
          </w:p>
        </w:tc>
      </w:tr>
      <w:tr w:rsidTr="00065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BodyText"/>
            </w:pPr>
            <w:r w:rsidRPr="00AD1EF0">
              <w:t>A working knowledge of:</w:t>
            </w:r>
          </w:p>
          <w:p w:rsidR="00000000" w:rsidRPr="00AD1EF0" w:rsidP="00AD1EF0">
            <w:pPr>
              <w:pStyle w:val="ListBullet"/>
            </w:pPr>
            <w:r w:rsidRPr="00AD1EF0">
              <w:t>OH&amp;S regulations/re</w:t>
            </w:r>
            <w:r w:rsidRPr="00AD1EF0">
              <w:t>quirements, equipment, material and personal safety requirements</w:t>
            </w:r>
          </w:p>
          <w:p w:rsidR="00000000" w:rsidRPr="00AD1EF0" w:rsidP="00AD1EF0">
            <w:pPr>
              <w:pStyle w:val="ListBullet"/>
            </w:pPr>
            <w:r w:rsidRPr="00AD1EF0">
              <w:t>environmental protection requirements/substance disposal and storage requirements</w:t>
            </w:r>
          </w:p>
          <w:p w:rsidR="00000000" w:rsidRPr="00AD1EF0" w:rsidP="00AD1EF0">
            <w:pPr>
              <w:pStyle w:val="ListBullet"/>
            </w:pPr>
            <w:r w:rsidRPr="00AD1EF0">
              <w:t>material safety data sheets</w:t>
            </w:r>
          </w:p>
          <w:p w:rsidR="00000000" w:rsidRPr="00AD1EF0" w:rsidP="00AD1EF0">
            <w:pPr>
              <w:pStyle w:val="ListBullet"/>
            </w:pPr>
            <w:r w:rsidRPr="00AD1EF0">
              <w:t>types of solid acrylic enamel refinishing materials (two component system)</w:t>
            </w:r>
          </w:p>
          <w:p w:rsidR="00000000" w:rsidRPr="00AD1EF0" w:rsidP="00AD1EF0">
            <w:pPr>
              <w:pStyle w:val="ListBullet"/>
            </w:pPr>
            <w:r w:rsidRPr="00AD1EF0">
              <w:t>paint surface fault identification and rectification procedures</w:t>
            </w:r>
          </w:p>
          <w:p w:rsidR="00000000" w:rsidRPr="00AD1EF0" w:rsidP="00AD1EF0">
            <w:pPr>
              <w:pStyle w:val="ListBullet"/>
            </w:pPr>
            <w:r w:rsidRPr="00AD1EF0">
              <w:t>drying methods for solid acrylic enamel refinishing material (two component system)</w:t>
            </w:r>
          </w:p>
          <w:p w:rsidR="00000000" w:rsidRPr="00AD1EF0" w:rsidP="00AD1EF0">
            <w:pPr>
              <w:pStyle w:val="ListBullet"/>
            </w:pPr>
            <w:r w:rsidRPr="00AD1EF0">
              <w:t>paint application methods</w:t>
            </w:r>
          </w:p>
          <w:p w:rsidR="00000000" w:rsidRPr="00AD1EF0" w:rsidP="00AD1EF0">
            <w:pPr>
              <w:pStyle w:val="ListBullet"/>
            </w:pPr>
            <w:r w:rsidRPr="00AD1EF0">
              <w:t>types of spray guns</w:t>
            </w:r>
          </w:p>
          <w:p w:rsidR="00000000" w:rsidRPr="00AD1EF0" w:rsidP="00AD1EF0">
            <w:pPr>
              <w:pStyle w:val="ListBullet"/>
            </w:pPr>
            <w:r w:rsidRPr="00AD1EF0">
              <w:t>spray gun operation (spraying techniques)</w:t>
            </w:r>
          </w:p>
          <w:p w:rsidR="00000000" w:rsidRPr="00AD1EF0" w:rsidP="00AD1EF0">
            <w:pPr>
              <w:pStyle w:val="ListBullet"/>
            </w:pPr>
            <w:r w:rsidRPr="00AD1EF0">
              <w:t>spray gun cleaning m</w:t>
            </w:r>
            <w:r w:rsidRPr="00AD1EF0">
              <w:t>ethods</w:t>
            </w:r>
          </w:p>
          <w:p w:rsidR="00000000" w:rsidRPr="00AD1EF0" w:rsidP="00AD1EF0">
            <w:pPr>
              <w:pStyle w:val="ListBullet"/>
            </w:pPr>
            <w:r w:rsidRPr="00AD1EF0">
              <w:t>work organisation and planning processes</w:t>
            </w:r>
          </w:p>
          <w:p w:rsidR="00000000" w:rsidRPr="00AD1EF0" w:rsidP="00AD1EF0">
            <w:pPr>
              <w:pStyle w:val="ListBullet"/>
            </w:pPr>
            <w:r w:rsidRPr="00AD1EF0">
              <w:t>enterprise quality processes</w:t>
            </w:r>
          </w:p>
        </w:tc>
      </w:tr>
    </w:tbl>
    <w:p w:rsidR="00065D6E" w:rsidP="00AD1EF0">
      <w:pPr>
        <w:pStyle w:val="BodyText"/>
      </w:pPr>
    </w:p>
    <w:p w:rsidR="00065D6E" w:rsidP="00AD1EF0">
      <w:pPr>
        <w:pStyle w:val="BodyText"/>
      </w:pPr>
    </w:p>
    <w:p w:rsidR="00000000" w:rsidRPr="00AD1EF0" w:rsidP="00AD1EF0">
      <w:pPr>
        <w:pStyle w:val="AllowPageBreak"/>
      </w:pPr>
    </w:p>
    <w:p w:rsidR="00000000" w:rsidRPr="00AD1EF0" w:rsidP="00AD1EF0">
      <w:pPr>
        <w:pStyle w:val="Heading1"/>
      </w:pPr>
      <w:bookmarkStart w:id="10" w:name="O_241481"/>
      <w:bookmarkEnd w:id="10"/>
      <w:r w:rsidRPr="00AD1EF0">
        <w:t>Evidence Guide</w:t>
      </w:r>
    </w:p>
    <w:tbl>
      <w:tblPr>
        <w:tblW w:w="9570" w:type="dxa"/>
        <w:tblLayout w:type="fixed"/>
        <w:tblCellMar>
          <w:left w:w="62" w:type="dxa"/>
          <w:right w:w="62" w:type="dxa"/>
        </w:tblCellMar>
        <w:tblLook w:val="0000"/>
      </w:tblPr>
      <w:tblGrid>
        <w:gridCol w:w="3447"/>
        <w:gridCol w:w="6123"/>
      </w:tblGrid>
      <w:tr w:rsidTr="00065D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EVIDENCE GUIDE</w:t>
            </w:r>
          </w:p>
        </w:tc>
      </w:tr>
      <w:tr w:rsidTr="00065D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t>The evidence guide provides advice</w:t>
            </w:r>
            <w:r w:rsidRPr="00AD1EF0">
              <w:t xml:space="preserve"> on assessment and must be read in conjunction with the performance criteria, required skills and knowledge, range statement and the Assessment Guidelines for the Training Package.</w:t>
            </w:r>
          </w:p>
        </w:tc>
      </w:tr>
      <w:tr w:rsidTr="00065D6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p>
        </w:tc>
      </w:tr>
      <w:tr w:rsidTr="00065D6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BodyText"/>
            </w:pPr>
            <w:r w:rsidRPr="00AD1EF0">
              <w:t>It is essential that competence is fully observed and there is ability to transfer competence to changing circumstances and to respond to unusual situations in the</w:t>
            </w:r>
            <w:r w:rsidRPr="00AD1EF0">
              <w:t xml:space="preserve"> critical aspects of:</w:t>
            </w:r>
          </w:p>
          <w:p w:rsidR="00000000" w:rsidRPr="00AD1EF0" w:rsidP="00AD1EF0">
            <w:pPr>
              <w:pStyle w:val="ListBullet"/>
            </w:pPr>
            <w:r w:rsidRPr="00AD1EF0">
              <w:t>observing safety procedures and requirements</w:t>
            </w:r>
          </w:p>
          <w:p w:rsidR="00000000" w:rsidRPr="00AD1EF0" w:rsidP="00AD1EF0">
            <w:pPr>
              <w:pStyle w:val="ListBullet"/>
            </w:pPr>
            <w:r w:rsidRPr="00AD1EF0">
              <w:t>communicating effectively with others involved in or affected by the work</w:t>
            </w:r>
          </w:p>
          <w:p w:rsidR="00000000" w:rsidRPr="00AD1EF0" w:rsidP="00AD1EF0">
            <w:pPr>
              <w:pStyle w:val="ListBullet"/>
            </w:pPr>
            <w:r w:rsidRPr="00AD1EF0">
              <w:t>selecting methods and techniques appropriate to the circumstances</w:t>
            </w:r>
          </w:p>
          <w:p w:rsidR="00000000" w:rsidRPr="00AD1EF0" w:rsidP="00AD1EF0">
            <w:pPr>
              <w:pStyle w:val="ListBullet"/>
            </w:pPr>
            <w:r w:rsidRPr="00AD1EF0">
              <w:t>completing preparatory activity in a systematic m</w:t>
            </w:r>
            <w:r w:rsidRPr="00AD1EF0">
              <w:t>anner</w:t>
            </w:r>
          </w:p>
          <w:p w:rsidR="00000000" w:rsidRPr="00AD1EF0" w:rsidP="00AD1EF0">
            <w:pPr>
              <w:pStyle w:val="ListBullet"/>
            </w:pPr>
            <w:r w:rsidRPr="00AD1EF0">
              <w:t>preparing solid acrylic enamel (two component system) paint</w:t>
            </w:r>
          </w:p>
          <w:p w:rsidR="00000000" w:rsidRPr="00AD1EF0" w:rsidP="00AD1EF0">
            <w:pPr>
              <w:pStyle w:val="ListBullet"/>
            </w:pPr>
            <w:r w:rsidRPr="00AD1EF0">
              <w:t>applying solid acrylic enamel refinishing materials (two component system)</w:t>
            </w:r>
          </w:p>
          <w:p w:rsidR="00000000" w:rsidRPr="00AD1EF0" w:rsidP="00AD1EF0">
            <w:pPr>
              <w:pStyle w:val="ListBullet"/>
            </w:pPr>
            <w:r w:rsidRPr="00AD1EF0">
              <w:t>identifying paint faults and determining rectification procedures</w:t>
            </w:r>
          </w:p>
          <w:p w:rsidR="00000000" w:rsidRPr="00AD1EF0" w:rsidP="00AD1EF0">
            <w:pPr>
              <w:pStyle w:val="ListBullet"/>
            </w:pPr>
            <w:r w:rsidRPr="00AD1EF0">
              <w:t>rectifying paint faults</w:t>
            </w:r>
          </w:p>
          <w:p w:rsidR="00000000" w:rsidP="00AD1EF0">
            <w:pPr>
              <w:pStyle w:val="ListBullet"/>
              <w:rPr>
                <w:lang w:val="en-NZ"/>
              </w:rPr>
            </w:pPr>
            <w:r w:rsidRPr="00AD1EF0">
              <w:t>applying environmental pr</w:t>
            </w:r>
            <w:r w:rsidRPr="00AD1EF0">
              <w:t>ocedures.</w:t>
            </w:r>
          </w:p>
        </w:tc>
      </w:tr>
      <w:tr w:rsidTr="00065D6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Context of</w:t>
            </w:r>
            <w:r w:rsidRPr="00AD1EF0">
              <w:t xml:space="preserve">, </w:t>
            </w:r>
            <w:r w:rsidRPr="00AD1EF0">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BodyText"/>
            </w:pPr>
            <w:r w:rsidRPr="00AD1EF0">
              <w:t>Application of competence is to be assessed in the workplace or simulated worksite.</w:t>
            </w:r>
          </w:p>
          <w:p w:rsidR="00000000" w:rsidRPr="00AD1EF0" w:rsidP="00AD1EF0">
            <w:pPr>
              <w:pStyle w:val="BodyText"/>
            </w:pPr>
            <w:r w:rsidRPr="00AD1EF0">
              <w:t>Assessment is to occur using standard and authorised work practices, safety requirements and environmental constraints.</w:t>
            </w:r>
          </w:p>
          <w:p w:rsidR="00000000" w:rsidRPr="00AD1EF0" w:rsidP="00AD1EF0">
            <w:pPr>
              <w:pStyle w:val="BodyText"/>
            </w:pPr>
            <w:r w:rsidRPr="00AD1EF0">
              <w:t>Assessment is to comply with regulatory requirements, including Australian Standards.</w:t>
            </w:r>
          </w:p>
          <w:p w:rsidR="00000000" w:rsidRPr="00AD1EF0" w:rsidP="00AD1EF0">
            <w:pPr>
              <w:pStyle w:val="BodyText"/>
            </w:pPr>
            <w:r w:rsidRPr="00AD1EF0">
              <w:t>The following resources should be made available:</w:t>
            </w:r>
          </w:p>
          <w:p w:rsidR="00000000" w:rsidRPr="00AD1EF0" w:rsidP="00AD1EF0">
            <w:pPr>
              <w:pStyle w:val="ListBullet"/>
            </w:pPr>
            <w:r w:rsidRPr="00AD1EF0">
              <w:t>workplace location or simulated workplace</w:t>
            </w:r>
          </w:p>
          <w:p w:rsidR="00000000" w:rsidRPr="00AD1EF0" w:rsidP="00AD1EF0">
            <w:pPr>
              <w:pStyle w:val="ListBullet"/>
            </w:pPr>
            <w:r w:rsidRPr="00AD1EF0">
              <w:t>materials relevant to application of solid acrylic enamel refinishing materials</w:t>
            </w:r>
          </w:p>
          <w:p w:rsidR="00000000" w:rsidRPr="00AD1EF0" w:rsidP="00AD1EF0">
            <w:pPr>
              <w:pStyle w:val="ListBullet"/>
            </w:pPr>
            <w:r w:rsidRPr="00AD1EF0">
              <w:t>equipment, hand and power tooling appropriate to application of solid acrylic enamel refinishing materials</w:t>
            </w:r>
          </w:p>
          <w:p w:rsidR="00000000" w:rsidRPr="00AD1EF0" w:rsidP="00AD1EF0">
            <w:pPr>
              <w:pStyle w:val="ListBullet"/>
            </w:pPr>
            <w:r w:rsidRPr="00AD1EF0">
              <w:t>activities covering mandato</w:t>
            </w:r>
            <w:r w:rsidRPr="00AD1EF0">
              <w:t>ry task requirements</w:t>
            </w:r>
          </w:p>
          <w:p w:rsidR="00000000" w:rsidP="00AD1EF0">
            <w:pPr>
              <w:pStyle w:val="ListBullet"/>
              <w:rPr>
                <w:lang w:val="en-NZ"/>
              </w:rPr>
            </w:pPr>
            <w:r w:rsidRPr="00AD1EF0">
              <w:t>specifications and work instructions.</w:t>
            </w:r>
          </w:p>
        </w:tc>
      </w:tr>
      <w:tr w:rsidTr="00065D6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ListBullet"/>
            </w:pPr>
            <w:r w:rsidRPr="00AD1EF0">
              <w:t>Assessment must satisfy the endorsed assessment guidelines of the automotive industry's RS&amp;R Training Package.</w:t>
            </w:r>
          </w:p>
          <w:p w:rsidR="00000000" w:rsidRPr="00AD1EF0" w:rsidP="00AD1EF0">
            <w:pPr>
              <w:pStyle w:val="ListBullet"/>
            </w:pPr>
            <w:r w:rsidRPr="00AD1EF0">
              <w:t>Assessment methods must confirm consistency and accuracy of perf</w:t>
            </w:r>
            <w:r w:rsidRPr="00AD1EF0">
              <w:t>ormance together with application of underpinning knowledge.</w:t>
            </w:r>
          </w:p>
          <w:p w:rsidR="00000000" w:rsidRPr="00AD1EF0" w:rsidP="00AD1EF0">
            <w:pPr>
              <w:pStyle w:val="ListBullet"/>
            </w:pPr>
            <w:r w:rsidRPr="00AD1EF0">
              <w:t>Assessment must be by direct observation of tasks, with questioning on underpinning knowledge and it must also reinforce the integration of key competencies.</w:t>
            </w:r>
          </w:p>
          <w:p w:rsidR="00000000" w:rsidRPr="00AD1EF0" w:rsidP="00AD1EF0">
            <w:pPr>
              <w:pStyle w:val="ListBullet"/>
            </w:pPr>
            <w:r w:rsidRPr="00AD1EF0">
              <w:t>Assessment may be applied under proje</w:t>
            </w:r>
            <w:r w:rsidRPr="00AD1EF0">
              <w:t>ct related conditions and require evidence of process.</w:t>
            </w:r>
          </w:p>
          <w:p w:rsidR="00000000" w:rsidRPr="00AD1EF0" w:rsidP="00AD1EF0">
            <w:pPr>
              <w:pStyle w:val="ListBullet"/>
            </w:pPr>
            <w:r w:rsidRPr="00AD1EF0">
              <w:t>Assessment must confirm a reasonable inference that competence is able not only to be satisfied under the particular circumstance, but is able to be transferred to other circumstances.</w:t>
            </w:r>
          </w:p>
          <w:p w:rsidR="00000000" w:rsidRPr="00AD1EF0" w:rsidP="00AD1EF0">
            <w:pPr>
              <w:pStyle w:val="ListBullet"/>
            </w:pPr>
            <w:r w:rsidRPr="00AD1EF0">
              <w:t>It is preferable</w:t>
            </w:r>
            <w:r w:rsidRPr="00AD1EF0">
              <w:t xml:space="preserve"> that assessment reflects a process rather than an event and occurs over a period of time to cover varying quality circumstances.  Evidence of performance may be provided by customers, team leaders/members or other persons subject to agreed authentication </w:t>
            </w:r>
            <w:r w:rsidRPr="00AD1EF0">
              <w:t>arrangements.</w:t>
            </w:r>
          </w:p>
          <w:p w:rsidR="00000000" w:rsidP="00AD1EF0">
            <w:pPr>
              <w:pStyle w:val="ListBullet"/>
              <w:rPr>
                <w:lang w:val="en-NZ"/>
              </w:rPr>
            </w:pPr>
            <w:r w:rsidRPr="00AD1EF0">
              <w:t>Competence in this unit may be assessed in conjunction with other functional units which together form part of the holistic work role.</w:t>
            </w:r>
          </w:p>
        </w:tc>
      </w:tr>
      <w:tr w:rsidTr="00065D6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BodyText"/>
            </w:pPr>
          </w:p>
        </w:tc>
      </w:tr>
    </w:tbl>
    <w:p w:rsidR="00065D6E" w:rsidP="00AD1EF0">
      <w:pPr>
        <w:pStyle w:val="BodyText"/>
      </w:pPr>
    </w:p>
    <w:p w:rsidR="00065D6E" w:rsidP="00AD1EF0">
      <w:pPr>
        <w:pStyle w:val="BodyText"/>
      </w:pPr>
    </w:p>
    <w:p w:rsidR="00000000" w:rsidRPr="00AD1EF0" w:rsidP="00AD1EF0">
      <w:pPr>
        <w:pStyle w:val="Heading1"/>
      </w:pPr>
      <w:bookmarkStart w:id="11" w:name="O_249464"/>
      <w:bookmarkEnd w:id="11"/>
      <w:r w:rsidRPr="00AD1EF0">
        <w:t>Range Statement</w:t>
      </w:r>
    </w:p>
    <w:tbl>
      <w:tblPr>
        <w:tblW w:w="0" w:type="auto"/>
        <w:tblLayout w:type="fixed"/>
        <w:tblCellMar>
          <w:left w:w="62" w:type="dxa"/>
          <w:right w:w="62" w:type="dxa"/>
        </w:tblCellMar>
        <w:tblLook w:val="0000"/>
      </w:tblPr>
      <w:tblGrid>
        <w:gridCol w:w="3549"/>
        <w:gridCol w:w="4973"/>
      </w:tblGrid>
      <w:tr w:rsidTr="00065D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RANGE STATEMENT</w:t>
            </w:r>
          </w:p>
        </w:tc>
      </w:tr>
      <w:tr w:rsidTr="00065D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t>The range statement relates to the unit of competency as a whole. It allows for different work environments and situations that may affect performance. Bold italicised wording, if used in the performance criteria, is detailed below. Essential operating con</w:t>
            </w:r>
            <w:r w:rsidRPr="00AD1EF0">
              <w:t>ditions that may be present with training and assessment (depending on the work situation, needs of the candidate, accessibility of the item, and local industry and regional contexts) may also be included.</w:t>
            </w:r>
          </w:p>
        </w:tc>
      </w:tr>
      <w:tr w:rsidTr="00065D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Refinishing 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t>Refinishing materials incl</w:t>
            </w:r>
            <w:r w:rsidRPr="00AD1EF0">
              <w:t>ude solid acrylic enamels, hardeners and reducers.</w:t>
            </w:r>
          </w:p>
        </w:tc>
      </w:tr>
      <w:tr w:rsidTr="00065D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Refinishing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t>Refinishing methods include spray gun selection equipment protection methods, various spraying techniques, drying procedures, paint mixing, compound polishing and detailing of surfaces</w:t>
            </w:r>
            <w:r w:rsidRPr="00AD1EF0">
              <w:t>.</w:t>
            </w:r>
          </w:p>
        </w:tc>
      </w:tr>
      <w:tr w:rsidTr="00065D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OH</w:t>
            </w:r>
            <w:r w:rsidRPr="00AD1EF0">
              <w:t>&amp;</w:t>
            </w:r>
            <w:r w:rsidRPr="00AD1EF0">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t>OH&amp;S requirements are to be in accordance with legislation/regulations/codes of practice and enterprise safety policies and procedures.  This may include protective clothing and equipment, use of tooling and equipment, workplace environment and saf</w:t>
            </w:r>
            <w:r w:rsidRPr="00AD1EF0">
              <w:t>ety, handling of materials, use of fire fighting equipment, enterprise first aid, hazard control and hazardous materials and substances.</w:t>
            </w:r>
          </w:p>
        </w:tc>
      </w:tr>
      <w:tr w:rsidTr="00065D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t>Personal protective</w:t>
            </w:r>
            <w:r w:rsidRPr="00AD1EF0">
              <w:t xml:space="preserve"> equipment is to include that prescribed under legislation/regulation/codes of practice and workplace policies and practices.</w:t>
            </w:r>
          </w:p>
        </w:tc>
      </w:tr>
      <w:tr w:rsidTr="00065D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t>Safe operating procedures are to include, but are not limited to operational risk assessment and treatm</w:t>
            </w:r>
            <w:r w:rsidRPr="00AD1EF0">
              <w:t>ents associated with vehicular movement, toxic substances, electrical safety, machinery movement and operation, manual and mechanical lifting and shifting, working in proximity to others and worksite visitors.</w:t>
            </w:r>
          </w:p>
        </w:tc>
      </w:tr>
      <w:tr w:rsidTr="00065D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t>Emergency procedures rel</w:t>
            </w:r>
            <w:r w:rsidRPr="00AD1EF0">
              <w:t>ated to this unit are to include, but are not limited to emergency shutdown and stopping of equipment, extinguishing fires, enterprise first aid requirements and worksite evacuation.</w:t>
            </w:r>
          </w:p>
        </w:tc>
      </w:tr>
      <w:tr w:rsidTr="00065D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t>Environmental requirements are to include but</w:t>
            </w:r>
            <w:r w:rsidRPr="00AD1EF0">
              <w:t xml:space="preserve"> are not limited to waste management, noise, dust and clean-up management.</w:t>
            </w:r>
          </w:p>
        </w:tc>
      </w:tr>
      <w:tr w:rsidTr="00065D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t>Quality requirements are to include, but are not limited to regulations, including Australian Standards, internal company quality policy and standards and ente</w:t>
            </w:r>
            <w:r w:rsidRPr="00AD1EF0">
              <w:t>rprise operations and procedures.</w:t>
            </w:r>
          </w:p>
        </w:tc>
      </w:tr>
      <w:tr w:rsidTr="00065D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Statutory</w:t>
            </w:r>
            <w:r w:rsidRPr="00AD1EF0">
              <w:t>/</w:t>
            </w:r>
            <w:r w:rsidRPr="00AD1EF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t>Statutory/regulatory authorities may include Federal, State/Territory and local authorities administering acts, regulations and codes of practice.</w:t>
            </w:r>
          </w:p>
        </w:tc>
      </w:tr>
      <w:tr w:rsidTr="00065D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t>Tooling and equipm</w:t>
            </w:r>
            <w:r w:rsidRPr="00AD1EF0">
              <w:t>ent may include various spray guns, air pressure regulators, air compressors, spray booths, baking ovens, heating and lighting systems, strainers, ford cup, measuring sticks and safety equipment.</w:t>
            </w:r>
          </w:p>
        </w:tc>
      </w:tr>
      <w:tr w:rsidTr="00065D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t xml:space="preserve">Materials may include polishing buffs and pads, rags, tac rags, solvents, compounds, glazes and cleaning materials. </w:t>
            </w:r>
          </w:p>
        </w:tc>
      </w:tr>
      <w:tr w:rsidTr="00065D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t>Communications are to include, but are not limited to verbal and visual instructions and fault reporting and may include wo</w:t>
            </w:r>
            <w:r w:rsidRPr="00AD1EF0">
              <w:t>rksite specific instructions, written instructions, plans or instructions related to job/task, telephones and pagers.</w:t>
            </w:r>
          </w:p>
        </w:tc>
      </w:tr>
      <w:tr w:rsidTr="00065D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Information</w:t>
            </w:r>
            <w:r w:rsidRPr="00AD1EF0">
              <w:t>/</w:t>
            </w:r>
            <w:r w:rsidRPr="00AD1EF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BodyText"/>
            </w:pPr>
            <w:r w:rsidRPr="00AD1EF0">
              <w:t>Sources of information/documents may include:</w:t>
            </w:r>
          </w:p>
          <w:p w:rsidR="00000000" w:rsidRPr="00AD1EF0" w:rsidP="00AD1EF0">
            <w:pPr>
              <w:pStyle w:val="ListBullet"/>
            </w:pPr>
            <w:r w:rsidRPr="00AD1EF0">
              <w:t>verbal or written and graphical instructions, signage, work schedules</w:t>
            </w:r>
            <w:r w:rsidRPr="00AD1EF0">
              <w:t>/plans/specifications, work bulletins, memos, material safety data sheets, diagrams or sketches</w:t>
            </w:r>
          </w:p>
          <w:p w:rsidR="00000000" w:rsidRPr="00AD1EF0" w:rsidP="00AD1EF0">
            <w:pPr>
              <w:pStyle w:val="ListBullet"/>
            </w:pPr>
            <w:r w:rsidRPr="00AD1EF0">
              <w:t>safe work procedures related to application of solid acrylic enamel refinishing materials</w:t>
            </w:r>
          </w:p>
          <w:p w:rsidR="00000000" w:rsidRPr="00AD1EF0" w:rsidP="00AD1EF0">
            <w:pPr>
              <w:pStyle w:val="ListBullet"/>
            </w:pPr>
            <w:r w:rsidRPr="00AD1EF0">
              <w:t xml:space="preserve">regulatory/legislative requirements pertaining to automotive painting </w:t>
            </w:r>
            <w:r w:rsidRPr="00AD1EF0">
              <w:t>and finishing</w:t>
            </w:r>
          </w:p>
          <w:p w:rsidR="00000000" w:rsidRPr="00AD1EF0" w:rsidP="00AD1EF0">
            <w:pPr>
              <w:pStyle w:val="ListBullet"/>
            </w:pPr>
            <w:r w:rsidRPr="00AD1EF0">
              <w:t>engineer's design specifications and instructions</w:t>
            </w:r>
          </w:p>
          <w:p w:rsidR="00000000" w:rsidRPr="00AD1EF0" w:rsidP="00AD1EF0">
            <w:pPr>
              <w:pStyle w:val="ListBullet"/>
            </w:pPr>
            <w:r w:rsidRPr="00AD1EF0">
              <w:t>organisation work specifications and requirements</w:t>
            </w:r>
          </w:p>
          <w:p w:rsidR="00000000" w:rsidRPr="00AD1EF0" w:rsidP="00AD1EF0">
            <w:pPr>
              <w:pStyle w:val="ListBullet"/>
            </w:pPr>
            <w:r w:rsidRPr="00AD1EF0">
              <w:t>instructions issued by authorised enterprise or external persons</w:t>
            </w:r>
          </w:p>
          <w:p w:rsidR="00000000" w:rsidRPr="00AD1EF0" w:rsidP="00AD1EF0">
            <w:pPr>
              <w:pStyle w:val="ListBullet"/>
            </w:pPr>
            <w:r w:rsidRPr="00AD1EF0">
              <w:t>Australian Standards.</w:t>
            </w:r>
          </w:p>
        </w:tc>
      </w:tr>
    </w:tbl>
    <w:p w:rsidR="00065D6E" w:rsidP="00AD1EF0">
      <w:pPr>
        <w:pStyle w:val="BodyText"/>
      </w:pPr>
    </w:p>
    <w:p w:rsidR="00065D6E" w:rsidP="00AD1EF0">
      <w:pPr>
        <w:pStyle w:val="BodyText"/>
      </w:pPr>
    </w:p>
    <w:p w:rsidR="00000000" w:rsidRPr="00AD1EF0" w:rsidP="00AD1EF0">
      <w:pPr>
        <w:pStyle w:val="Heading1"/>
      </w:pPr>
      <w:bookmarkStart w:id="12" w:name="O_194637"/>
      <w:bookmarkEnd w:id="12"/>
      <w:r w:rsidRPr="00AD1EF0">
        <w:t>Unit Sector(s)</w:t>
      </w:r>
    </w:p>
    <w:tbl>
      <w:tblPr>
        <w:tblW w:w="0" w:type="auto"/>
        <w:tblLayout w:type="fixed"/>
        <w:tblCellMar>
          <w:left w:w="62" w:type="dxa"/>
          <w:right w:w="62" w:type="dxa"/>
        </w:tblCellMar>
        <w:tblLook w:val="0000"/>
      </w:tblPr>
      <w:tblGrid>
        <w:gridCol w:w="2619"/>
        <w:gridCol w:w="5903"/>
      </w:tblGrid>
      <w:tr w:rsidTr="00065D6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BodyText"/>
            </w:pPr>
            <w:r w:rsidRPr="00AD1EF0">
              <w:t>Vehicle body</w:t>
            </w:r>
          </w:p>
        </w:tc>
      </w:tr>
    </w:tbl>
    <w:p w:rsidR="00065D6E" w:rsidP="00AD1EF0">
      <w:pPr>
        <w:pStyle w:val="BodyText"/>
      </w:pPr>
    </w:p>
    <w:p w:rsidR="00065D6E" w:rsidP="00AD1EF0">
      <w:pPr>
        <w:pStyle w:val="BodyText"/>
      </w:pPr>
    </w:p>
    <w:p w:rsidR="00000000" w:rsidRPr="00AD1EF0" w:rsidP="00AD1EF0">
      <w:pPr>
        <w:pStyle w:val="Heading1"/>
      </w:pPr>
      <w:bookmarkStart w:id="13" w:name="O_194634"/>
      <w:bookmarkEnd w:id="13"/>
      <w:r w:rsidRPr="00AD1EF0">
        <w:t>Co-requisite units</w:t>
      </w:r>
    </w:p>
    <w:tbl>
      <w:tblPr>
        <w:tblW w:w="0" w:type="auto"/>
        <w:tblLayout w:type="fixed"/>
        <w:tblCellMar>
          <w:left w:w="62" w:type="dxa"/>
          <w:right w:w="62" w:type="dxa"/>
        </w:tblCellMar>
        <w:tblLook w:val="0000"/>
      </w:tblPr>
      <w:tblGrid>
        <w:gridCol w:w="2641"/>
        <w:gridCol w:w="1322"/>
        <w:gridCol w:w="4559"/>
      </w:tblGrid>
      <w:tr w:rsidTr="00065D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p>
        </w:tc>
      </w:tr>
      <w:tr w:rsidTr="00065D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p>
        </w:tc>
      </w:tr>
      <w:tr w:rsidTr="00065D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BodyText"/>
            </w:pPr>
          </w:p>
        </w:tc>
      </w:tr>
    </w:tbl>
    <w:p w:rsidR="00065D6E" w:rsidP="00AD1EF0">
      <w:pPr>
        <w:pStyle w:val="BodyText"/>
      </w:pPr>
    </w:p>
    <w:p w:rsidR="00065D6E" w:rsidP="00AD1EF0">
      <w:pPr>
        <w:pStyle w:val="BodyText"/>
      </w:pPr>
    </w:p>
    <w:p w:rsidR="00000000" w:rsidRPr="00AD1EF0" w:rsidP="00AD1EF0">
      <w:pPr>
        <w:pStyle w:val="Heading1"/>
      </w:pPr>
      <w:bookmarkStart w:id="14" w:name="O_194636"/>
      <w:bookmarkEnd w:id="14"/>
      <w:r w:rsidRPr="00AD1EF0">
        <w:t>Competency field</w:t>
      </w:r>
    </w:p>
    <w:tbl>
      <w:tblPr>
        <w:tblW w:w="0" w:type="auto"/>
        <w:tblLayout w:type="fixed"/>
        <w:tblCellMar>
          <w:left w:w="62" w:type="dxa"/>
          <w:right w:w="62" w:type="dxa"/>
        </w:tblCellMar>
        <w:tblLook w:val="0000"/>
      </w:tblPr>
      <w:tblGrid>
        <w:gridCol w:w="2784"/>
        <w:gridCol w:w="5738"/>
      </w:tblGrid>
      <w:tr w:rsidTr="00065D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F0">
            <w:pPr>
              <w:pStyle w:val="BodyText"/>
              <w:rPr>
                <w:lang w:val="en-NZ"/>
              </w:rPr>
            </w:pPr>
            <w:r w:rsidRPr="00AD1EF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F0" w:rsidP="00AD1EF0">
            <w:pPr>
              <w:pStyle w:val="BodyText"/>
            </w:pPr>
          </w:p>
        </w:tc>
      </w:tr>
    </w:tbl>
    <w:p w:rsidR="00065D6E" w:rsidP="00AD1EF0">
      <w:pPr>
        <w:pStyle w:val="BodyText"/>
      </w:pPr>
    </w:p>
    <w:p w:rsidR="00065D6E" w:rsidP="00AD1EF0">
      <w:pPr>
        <w:pStyle w:val="BodyText"/>
      </w:pPr>
    </w:p>
    <w:p w:rsidR="00000000" w:rsidRPr="00AD1EF0" w:rsidP="00AD1EF0"/>
    <w:sectPr w:rsidSect="00AD1E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5D6E" w:rsidP="00065D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6E" w:rsidP="00AD1E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65D6E" w:rsidP="00AD1E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65D6E" w:rsidP="00AD1E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F0" w:rsidRPr="00065D6E" w:rsidP="00065D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6E" w:rsidRPr="002D2AF8" w:rsidP="00AD1EF0">
    <w:pPr>
      <w:pStyle w:val="Header"/>
      <w:framePr w:wrap="around"/>
    </w:pPr>
    <w:r>
      <w:fldChar w:fldCharType="begin"/>
    </w:r>
    <w:r>
      <w:instrText xml:space="preserve"> TITLE   \* MERGEFORMAT </w:instrText>
    </w:r>
    <w:r>
      <w:fldChar w:fldCharType="separate"/>
    </w:r>
    <w:r>
      <w:t>AURV329603BA Apply solid acrylic enamel refinishing materials (two component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65D6E" w:rsidP="00AD1E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24C4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E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EF0"/>
    <w:pPr>
      <w:spacing w:before="360" w:after="60"/>
      <w:outlineLvl w:val="0"/>
    </w:pPr>
    <w:rPr>
      <w:sz w:val="32"/>
    </w:rPr>
  </w:style>
  <w:style w:type="paragraph" w:styleId="Heading2">
    <w:name w:val="heading 2"/>
    <w:basedOn w:val="HeadingBase"/>
    <w:next w:val="BodyText"/>
    <w:link w:val="Heading2Char"/>
    <w:qFormat/>
    <w:rsid w:val="00AD1EF0"/>
    <w:pPr>
      <w:keepLines/>
      <w:spacing w:before="240" w:after="120"/>
      <w:outlineLvl w:val="1"/>
    </w:pPr>
    <w:rPr>
      <w:sz w:val="28"/>
      <w:szCs w:val="40"/>
    </w:rPr>
  </w:style>
  <w:style w:type="paragraph" w:styleId="Heading3">
    <w:name w:val="heading 3"/>
    <w:basedOn w:val="HeadingBase"/>
    <w:next w:val="BodyText"/>
    <w:link w:val="Heading3Char"/>
    <w:qFormat/>
    <w:rsid w:val="00AD1EF0"/>
    <w:pPr>
      <w:spacing w:before="180" w:after="120"/>
      <w:outlineLvl w:val="2"/>
    </w:pPr>
    <w:rPr>
      <w:spacing w:val="-10"/>
      <w:kern w:val="32"/>
    </w:rPr>
  </w:style>
  <w:style w:type="paragraph" w:styleId="Heading4">
    <w:name w:val="heading 4"/>
    <w:basedOn w:val="HeadingBase"/>
    <w:next w:val="BodyText"/>
    <w:link w:val="Heading4Char"/>
    <w:qFormat/>
    <w:rsid w:val="00AD1EF0"/>
    <w:pPr>
      <w:spacing w:before="160" w:after="120"/>
      <w:outlineLvl w:val="3"/>
    </w:pPr>
    <w:rPr>
      <w:sz w:val="22"/>
    </w:rPr>
  </w:style>
  <w:style w:type="paragraph" w:styleId="Heading5">
    <w:name w:val="heading 5"/>
    <w:basedOn w:val="HeadingBase"/>
    <w:next w:val="Normal"/>
    <w:link w:val="Heading5Char"/>
    <w:qFormat/>
    <w:rsid w:val="00AD1EF0"/>
    <w:pPr>
      <w:spacing w:before="80"/>
      <w:outlineLvl w:val="4"/>
    </w:pPr>
    <w:rPr>
      <w:color w:val="918585"/>
      <w:sz w:val="20"/>
    </w:rPr>
  </w:style>
  <w:style w:type="paragraph" w:styleId="Heading6">
    <w:name w:val="heading 6"/>
    <w:basedOn w:val="HeadingBase"/>
    <w:next w:val="Normal"/>
    <w:link w:val="Heading6Char"/>
    <w:qFormat/>
    <w:rsid w:val="00AD1EF0"/>
    <w:pPr>
      <w:spacing w:before="60"/>
      <w:outlineLvl w:val="5"/>
    </w:pPr>
    <w:rPr>
      <w:color w:val="918585"/>
      <w:sz w:val="20"/>
    </w:rPr>
  </w:style>
  <w:style w:type="paragraph" w:styleId="Heading7">
    <w:name w:val="heading 7"/>
    <w:basedOn w:val="Normal"/>
    <w:next w:val="Normal"/>
    <w:link w:val="Heading7Char"/>
    <w:qFormat/>
    <w:rsid w:val="00AD1EF0"/>
    <w:pPr>
      <w:ind w:left="720"/>
      <w:outlineLvl w:val="6"/>
    </w:pPr>
    <w:rPr>
      <w:i/>
    </w:rPr>
  </w:style>
  <w:style w:type="paragraph" w:styleId="Heading8">
    <w:name w:val="heading 8"/>
    <w:basedOn w:val="Normal"/>
    <w:next w:val="Normal"/>
    <w:link w:val="Heading8Char"/>
    <w:qFormat/>
    <w:rsid w:val="00AD1EF0"/>
    <w:pPr>
      <w:ind w:left="720"/>
      <w:outlineLvl w:val="7"/>
    </w:pPr>
    <w:rPr>
      <w:i/>
    </w:rPr>
  </w:style>
  <w:style w:type="paragraph" w:styleId="Heading9">
    <w:name w:val="heading 9"/>
    <w:basedOn w:val="Normal"/>
    <w:next w:val="Normal"/>
    <w:link w:val="Heading9Char"/>
    <w:qFormat/>
    <w:rsid w:val="00AD1EF0"/>
    <w:pPr>
      <w:ind w:left="720"/>
      <w:outlineLvl w:val="8"/>
    </w:pPr>
    <w:rPr>
      <w:i/>
    </w:rPr>
  </w:style>
  <w:style w:type="character" w:default="1" w:styleId="DefaultParagraphFont">
    <w:name w:val="Default Paragraph Font"/>
    <w:uiPriority w:val="1"/>
    <w:unhideWhenUsed/>
    <w:rsid w:val="00AD1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EF0"/>
  </w:style>
  <w:style w:type="character" w:customStyle="1" w:styleId="Heading1Char">
    <w:name w:val="Heading 1 Char"/>
    <w:basedOn w:val="DefaultParagraphFont"/>
    <w:link w:val="Heading1"/>
    <w:rsid w:val="00AD1EF0"/>
    <w:rPr>
      <w:rFonts w:ascii="Times New Roman" w:eastAsia="Times New Roman" w:hAnsi="Times New Roman" w:cs="Times New Roman"/>
      <w:b/>
      <w:sz w:val="32"/>
      <w:szCs w:val="20"/>
      <w:lang w:eastAsia="en-US"/>
    </w:rPr>
  </w:style>
  <w:style w:type="paragraph" w:styleId="BodyText">
    <w:name w:val="Body Text"/>
    <w:basedOn w:val="Normal"/>
    <w:link w:val="BodyTextChar"/>
    <w:rsid w:val="00AD1E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1EF0"/>
    <w:rPr>
      <w:rFonts w:ascii="Times New Roman" w:eastAsia="Times New Roman" w:hAnsi="Times New Roman" w:cs="Times New Roman"/>
      <w:sz w:val="24"/>
      <w:lang w:eastAsia="en-US"/>
    </w:rPr>
  </w:style>
  <w:style w:type="paragraph" w:styleId="Footer">
    <w:name w:val="footer"/>
    <w:basedOn w:val="Normal"/>
    <w:link w:val="FooterChar"/>
    <w:rsid w:val="00AD1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EF0"/>
    <w:rPr>
      <w:rFonts w:ascii="Times New Roman" w:eastAsia="Times New Roman" w:hAnsi="Times New Roman" w:cs="Times New Roman"/>
      <w:sz w:val="16"/>
      <w:lang w:eastAsia="en-US"/>
    </w:rPr>
  </w:style>
  <w:style w:type="paragraph" w:styleId="List">
    <w:name w:val="List"/>
    <w:basedOn w:val="BodyText"/>
    <w:next w:val="BodyText"/>
    <w:rsid w:val="00AD1EF0"/>
    <w:pPr>
      <w:tabs>
        <w:tab w:val="left" w:pos="340"/>
      </w:tabs>
      <w:spacing w:before="60" w:after="60"/>
      <w:ind w:left="340" w:hanging="340"/>
    </w:pPr>
  </w:style>
  <w:style w:type="paragraph" w:styleId="ListBullet">
    <w:name w:val="List Bullet"/>
    <w:basedOn w:val="List"/>
    <w:rsid w:val="00AD1EF0"/>
    <w:pPr>
      <w:numPr>
        <w:numId w:val="12"/>
      </w:numPr>
      <w:tabs>
        <w:tab w:val="clear" w:pos="340"/>
      </w:tabs>
      <w:spacing w:before="40" w:after="40"/>
    </w:pPr>
  </w:style>
  <w:style w:type="character" w:customStyle="1" w:styleId="SpecialBold">
    <w:name w:val="Special Bold"/>
    <w:basedOn w:val="DefaultParagraphFont"/>
    <w:rsid w:val="00AD1EF0"/>
    <w:rPr>
      <w:b/>
      <w:spacing w:val="0"/>
    </w:rPr>
  </w:style>
  <w:style w:type="paragraph" w:customStyle="1" w:styleId="SuperHeading">
    <w:name w:val="SuperHeading"/>
    <w:basedOn w:val="Normal"/>
    <w:rsid w:val="00AD1EF0"/>
    <w:pPr>
      <w:spacing w:before="240" w:after="120"/>
      <w:outlineLvl w:val="0"/>
    </w:pPr>
    <w:rPr>
      <w:rFonts w:ascii="Times New Roman" w:hAnsi="Times New Roman"/>
      <w:b/>
      <w:sz w:val="28"/>
    </w:rPr>
  </w:style>
  <w:style w:type="paragraph" w:customStyle="1" w:styleId="AllowPageBreak">
    <w:name w:val="AllowPageBreak"/>
    <w:rsid w:val="00AD1E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1EF0"/>
    <w:pPr>
      <w:tabs>
        <w:tab w:val="left" w:pos="680"/>
      </w:tabs>
      <w:spacing w:before="60" w:after="60"/>
      <w:ind w:left="680" w:hanging="340"/>
    </w:pPr>
  </w:style>
  <w:style w:type="character" w:customStyle="1" w:styleId="Heading2Char">
    <w:name w:val="Heading 2 Char"/>
    <w:basedOn w:val="DefaultParagraphFont"/>
    <w:link w:val="Heading2"/>
    <w:rsid w:val="00AD1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E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E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EF0"/>
    <w:rPr>
      <w:rFonts w:ascii="Courier New" w:eastAsia="Times New Roman" w:hAnsi="Courier New" w:cs="Times New Roman"/>
      <w:i/>
      <w:szCs w:val="20"/>
      <w:lang w:eastAsia="en-US"/>
    </w:rPr>
  </w:style>
  <w:style w:type="paragraph" w:customStyle="1" w:styleId="HeadingBase">
    <w:name w:val="Heading Base"/>
    <w:rsid w:val="00AD1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EF0"/>
    <w:pPr>
      <w:tabs>
        <w:tab w:val="right" w:leader="dot" w:pos="9072"/>
      </w:tabs>
      <w:ind w:left="567"/>
    </w:pPr>
    <w:rPr>
      <w:szCs w:val="22"/>
    </w:rPr>
  </w:style>
  <w:style w:type="paragraph" w:customStyle="1" w:styleId="TOCBase">
    <w:name w:val="TOC Base"/>
    <w:rsid w:val="00AD1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EF0"/>
    <w:pPr>
      <w:tabs>
        <w:tab w:val="right" w:leader="dot" w:pos="9072"/>
      </w:tabs>
      <w:spacing w:before="40" w:after="40"/>
      <w:ind w:left="284"/>
    </w:pPr>
    <w:rPr>
      <w:rFonts w:ascii="Times New Roman" w:hAnsi="Times New Roman"/>
    </w:rPr>
  </w:style>
  <w:style w:type="paragraph" w:styleId="TOC1">
    <w:name w:val="toc 1"/>
    <w:basedOn w:val="TOCBase"/>
    <w:next w:val="Normal"/>
    <w:rsid w:val="00AD1E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1EF0"/>
    <w:pPr>
      <w:spacing w:before="5040"/>
      <w:jc w:val="center"/>
    </w:pPr>
    <w:rPr>
      <w:sz w:val="48"/>
      <w:szCs w:val="72"/>
      <w:lang w:val="en-US"/>
    </w:rPr>
  </w:style>
  <w:style w:type="character" w:customStyle="1" w:styleId="TitleChar">
    <w:name w:val="Title Char"/>
    <w:basedOn w:val="DefaultParagraphFont"/>
    <w:link w:val="Title"/>
    <w:rsid w:val="00AD1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EF0"/>
    <w:pPr>
      <w:tabs>
        <w:tab w:val="left" w:pos="3600"/>
        <w:tab w:val="left" w:pos="3958"/>
      </w:tabs>
    </w:pPr>
  </w:style>
  <w:style w:type="paragraph" w:customStyle="1" w:styleId="Note">
    <w:name w:val="Note"/>
    <w:basedOn w:val="BodyText"/>
    <w:rsid w:val="00AD1E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EF0"/>
    <w:pPr>
      <w:framePr w:wrap="auto" w:hAnchor="text" w:y="6049"/>
    </w:pPr>
    <w:rPr>
      <w:color w:val="000000"/>
      <w:sz w:val="40"/>
    </w:rPr>
  </w:style>
  <w:style w:type="paragraph" w:customStyle="1" w:styleId="TOCTitle">
    <w:name w:val="TOCTitle"/>
    <w:basedOn w:val="Heading1"/>
    <w:rsid w:val="00AD1EF0"/>
    <w:pPr>
      <w:spacing w:after="240"/>
      <w:jc w:val="center"/>
      <w:outlineLvl w:val="9"/>
    </w:pPr>
    <w:rPr>
      <w:caps/>
    </w:rPr>
  </w:style>
  <w:style w:type="paragraph" w:customStyle="1" w:styleId="Version">
    <w:name w:val="Version"/>
    <w:rsid w:val="00AD1E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1EF0"/>
    <w:pPr>
      <w:numPr>
        <w:numId w:val="13"/>
      </w:numPr>
      <w:tabs>
        <w:tab w:val="clear" w:pos="680"/>
      </w:tabs>
    </w:pPr>
  </w:style>
  <w:style w:type="paragraph" w:styleId="Index1">
    <w:name w:val="index 1"/>
    <w:basedOn w:val="Normal"/>
    <w:next w:val="Normal"/>
    <w:semiHidden/>
    <w:rsid w:val="00AD1EF0"/>
    <w:pPr>
      <w:keepNext w:val="0"/>
      <w:tabs>
        <w:tab w:val="right" w:pos="4176"/>
      </w:tabs>
      <w:ind w:left="198" w:hanging="198"/>
    </w:pPr>
    <w:rPr>
      <w:rFonts w:ascii="Garamond" w:hAnsi="Garamond"/>
    </w:rPr>
  </w:style>
  <w:style w:type="paragraph" w:styleId="IndexHeading">
    <w:name w:val="index heading"/>
    <w:basedOn w:val="Normal"/>
    <w:next w:val="Index1"/>
    <w:semiHidden/>
    <w:rsid w:val="00AD1EF0"/>
    <w:pPr>
      <w:spacing w:before="120" w:after="120"/>
    </w:pPr>
    <w:rPr>
      <w:rFonts w:ascii="Arial" w:hAnsi="Arial"/>
      <w:b/>
      <w:color w:val="918585"/>
      <w:sz w:val="24"/>
    </w:rPr>
  </w:style>
  <w:style w:type="paragraph" w:styleId="Header">
    <w:name w:val="header"/>
    <w:basedOn w:val="Normal"/>
    <w:link w:val="HeaderChar"/>
    <w:rsid w:val="00AD1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EF0"/>
    <w:rPr>
      <w:rFonts w:ascii="Times New Roman" w:eastAsia="Times New Roman" w:hAnsi="Times New Roman" w:cs="Times New Roman"/>
      <w:sz w:val="16"/>
      <w:szCs w:val="20"/>
      <w:lang w:val="en-GB" w:eastAsia="en-US"/>
    </w:rPr>
  </w:style>
  <w:style w:type="paragraph" w:customStyle="1" w:styleId="Chapter">
    <w:name w:val="Chapter"/>
    <w:basedOn w:val="Normal"/>
    <w:rsid w:val="00AD1EF0"/>
    <w:pPr>
      <w:spacing w:before="240"/>
    </w:pPr>
    <w:rPr>
      <w:rFonts w:ascii="Times New Roman" w:hAnsi="Times New Roman"/>
      <w:smallCaps/>
      <w:spacing w:val="80"/>
      <w:sz w:val="28"/>
    </w:rPr>
  </w:style>
  <w:style w:type="paragraph" w:customStyle="1" w:styleId="InChapter">
    <w:name w:val="InChapter"/>
    <w:basedOn w:val="Heading3"/>
    <w:rsid w:val="00AD1EF0"/>
    <w:pPr>
      <w:spacing w:after="240"/>
      <w:outlineLvl w:val="9"/>
    </w:pPr>
    <w:rPr>
      <w:noProof/>
    </w:rPr>
  </w:style>
  <w:style w:type="paragraph" w:styleId="Index2">
    <w:name w:val="index 2"/>
    <w:basedOn w:val="Normal"/>
    <w:next w:val="Normal"/>
    <w:semiHidden/>
    <w:rsid w:val="00AD1EF0"/>
    <w:pPr>
      <w:tabs>
        <w:tab w:val="right" w:pos="4176"/>
      </w:tabs>
      <w:ind w:left="568" w:hanging="284"/>
    </w:pPr>
    <w:rPr>
      <w:rFonts w:ascii="Garamond" w:hAnsi="Garamond"/>
    </w:rPr>
  </w:style>
  <w:style w:type="paragraph" w:customStyle="1" w:styleId="Byline">
    <w:name w:val="Byline"/>
    <w:rsid w:val="00AD1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EF0"/>
    <w:pPr>
      <w:tabs>
        <w:tab w:val="clear" w:pos="3600"/>
        <w:tab w:val="clear" w:pos="3958"/>
      </w:tabs>
      <w:jc w:val="right"/>
    </w:pPr>
  </w:style>
  <w:style w:type="character" w:styleId="Emphasis">
    <w:name w:val="Emphasis"/>
    <w:basedOn w:val="DefaultParagraphFont"/>
    <w:qFormat/>
    <w:rsid w:val="00AD1EF0"/>
    <w:rPr>
      <w:i/>
    </w:rPr>
  </w:style>
  <w:style w:type="paragraph" w:styleId="Caption">
    <w:name w:val="caption"/>
    <w:basedOn w:val="BodyText"/>
    <w:next w:val="Normal"/>
    <w:qFormat/>
    <w:rsid w:val="00AD1EF0"/>
    <w:pPr>
      <w:framePr w:w="2268" w:hSpace="181" w:vSpace="181" w:wrap="around" w:vAnchor="text" w:hAnchor="page" w:x="1135" w:y="285" w:anchorLock="1"/>
    </w:pPr>
    <w:rPr>
      <w:i/>
    </w:rPr>
  </w:style>
  <w:style w:type="paragraph" w:customStyle="1" w:styleId="MiniTOCTitle">
    <w:name w:val="MiniTOCTitle"/>
    <w:basedOn w:val="Heading4"/>
    <w:rsid w:val="00AD1EF0"/>
    <w:pPr>
      <w:spacing w:before="240"/>
      <w:outlineLvl w:val="9"/>
    </w:pPr>
    <w:rPr>
      <w:noProof/>
      <w:sz w:val="24"/>
    </w:rPr>
  </w:style>
  <w:style w:type="paragraph" w:customStyle="1" w:styleId="MiniTOCItem">
    <w:name w:val="MiniTOCItem"/>
    <w:basedOn w:val="ListBullet"/>
    <w:rsid w:val="00AD1EF0"/>
    <w:pPr>
      <w:numPr>
        <w:numId w:val="0"/>
      </w:numPr>
      <w:tabs>
        <w:tab w:val="right" w:leader="dot" w:pos="6521"/>
      </w:tabs>
      <w:spacing w:before="0" w:after="0"/>
    </w:pPr>
  </w:style>
  <w:style w:type="paragraph" w:customStyle="1" w:styleId="TOFTitle">
    <w:name w:val="TOFTitle"/>
    <w:basedOn w:val="TOCTitle"/>
    <w:rsid w:val="00AD1EF0"/>
  </w:style>
  <w:style w:type="paragraph" w:styleId="TableofFigures">
    <w:name w:val="table of figures"/>
    <w:basedOn w:val="Normal"/>
    <w:next w:val="Normal"/>
    <w:semiHidden/>
    <w:rsid w:val="00AD1EF0"/>
    <w:pPr>
      <w:tabs>
        <w:tab w:val="right" w:leader="dot" w:pos="9072"/>
      </w:tabs>
      <w:ind w:left="970" w:hanging="403"/>
    </w:pPr>
    <w:rPr>
      <w:rFonts w:ascii="Times New Roman" w:hAnsi="Times New Roman"/>
      <w:b/>
    </w:rPr>
  </w:style>
  <w:style w:type="paragraph" w:styleId="ListNumber">
    <w:name w:val="List Number"/>
    <w:basedOn w:val="List"/>
    <w:rsid w:val="00AD1EF0"/>
    <w:pPr>
      <w:numPr>
        <w:numId w:val="10"/>
      </w:numPr>
    </w:pPr>
  </w:style>
  <w:style w:type="character" w:customStyle="1" w:styleId="WingdingSymbols">
    <w:name w:val="Wingding Symbols"/>
    <w:rsid w:val="00AD1EF0"/>
    <w:rPr>
      <w:rFonts w:ascii="Wingdings" w:hAnsi="Wingdings"/>
    </w:rPr>
  </w:style>
  <w:style w:type="paragraph" w:customStyle="1" w:styleId="TableHeading">
    <w:name w:val="Table Heading"/>
    <w:basedOn w:val="HeadingBase"/>
    <w:rsid w:val="00AD1EF0"/>
    <w:pPr>
      <w:keepLines/>
      <w:pBdr>
        <w:bottom w:val="single" w:sz="6" w:space="1" w:color="918585"/>
      </w:pBdr>
      <w:spacing w:before="240"/>
    </w:pPr>
  </w:style>
  <w:style w:type="character" w:customStyle="1" w:styleId="HotSpot">
    <w:name w:val="HotSpot"/>
    <w:rsid w:val="00AD1EF0"/>
    <w:rPr>
      <w:color w:val="0033CC"/>
      <w:u w:val="none"/>
    </w:rPr>
  </w:style>
  <w:style w:type="paragraph" w:customStyle="1" w:styleId="BodyTextRight">
    <w:name w:val="Body Text Right"/>
    <w:basedOn w:val="BodyText"/>
    <w:rsid w:val="00AD1EF0"/>
    <w:pPr>
      <w:spacing w:before="0" w:after="0"/>
      <w:jc w:val="right"/>
    </w:pPr>
  </w:style>
  <w:style w:type="paragraph" w:styleId="Index3">
    <w:name w:val="index 3"/>
    <w:basedOn w:val="ListNumber2"/>
    <w:next w:val="Normal"/>
    <w:semiHidden/>
    <w:rsid w:val="00AD1EF0"/>
    <w:pPr>
      <w:numPr>
        <w:numId w:val="0"/>
      </w:numPr>
      <w:tabs>
        <w:tab w:val="right" w:leader="dot" w:pos="4176"/>
      </w:tabs>
    </w:pPr>
  </w:style>
  <w:style w:type="paragraph" w:styleId="ListNumber2">
    <w:name w:val="List Number 2"/>
    <w:basedOn w:val="List2"/>
    <w:rsid w:val="00AD1EF0"/>
    <w:pPr>
      <w:numPr>
        <w:numId w:val="9"/>
      </w:numPr>
      <w:tabs>
        <w:tab w:val="clear" w:pos="1060"/>
      </w:tabs>
    </w:pPr>
  </w:style>
  <w:style w:type="paragraph" w:customStyle="1" w:styleId="MarginNote">
    <w:name w:val="Margin Note"/>
    <w:basedOn w:val="BodyText"/>
    <w:rsid w:val="00AD1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E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EF0"/>
    <w:rPr>
      <w:sz w:val="32"/>
    </w:rPr>
  </w:style>
  <w:style w:type="paragraph" w:customStyle="1" w:styleId="HeadingProcedure">
    <w:name w:val="Heading Procedure"/>
    <w:basedOn w:val="HeadingBase"/>
    <w:next w:val="Normal"/>
    <w:rsid w:val="00AD1EF0"/>
    <w:pPr>
      <w:tabs>
        <w:tab w:val="left" w:pos="0"/>
      </w:tabs>
      <w:spacing w:before="120" w:after="60"/>
    </w:pPr>
    <w:rPr>
      <w:i/>
      <w:color w:val="918585"/>
      <w:sz w:val="22"/>
    </w:rPr>
  </w:style>
  <w:style w:type="paragraph" w:customStyle="1" w:styleId="TableBodyText">
    <w:name w:val="Table Body Text"/>
    <w:basedOn w:val="BodyText"/>
    <w:rsid w:val="00AD1EF0"/>
    <w:pPr>
      <w:spacing w:before="60" w:after="60"/>
    </w:pPr>
  </w:style>
  <w:style w:type="paragraph" w:styleId="ListContinue">
    <w:name w:val="List Continue"/>
    <w:basedOn w:val="List"/>
    <w:rsid w:val="00AD1EF0"/>
    <w:pPr>
      <w:ind w:firstLine="0"/>
    </w:pPr>
  </w:style>
  <w:style w:type="paragraph" w:customStyle="1" w:styleId="ListNote">
    <w:name w:val="List Note"/>
    <w:basedOn w:val="List"/>
    <w:rsid w:val="00AD1EF0"/>
    <w:pPr>
      <w:pBdr>
        <w:top w:val="single" w:sz="6" w:space="2" w:color="918585"/>
        <w:bottom w:val="single" w:sz="6" w:space="2" w:color="918585"/>
      </w:pBdr>
      <w:tabs>
        <w:tab w:val="left" w:pos="1021"/>
      </w:tabs>
      <w:ind w:firstLine="0"/>
    </w:pPr>
  </w:style>
  <w:style w:type="paragraph" w:customStyle="1" w:styleId="Warning">
    <w:name w:val="Warning"/>
    <w:basedOn w:val="BodyText"/>
    <w:rsid w:val="00AD1EF0"/>
    <w:pPr>
      <w:shd w:val="clear" w:color="auto" w:fill="D9D9D9"/>
      <w:tabs>
        <w:tab w:val="left" w:pos="992"/>
      </w:tabs>
      <w:ind w:left="119" w:right="119"/>
    </w:pPr>
    <w:rPr>
      <w:sz w:val="20"/>
    </w:rPr>
  </w:style>
  <w:style w:type="paragraph" w:customStyle="1" w:styleId="MarginIcons">
    <w:name w:val="Margin Icons"/>
    <w:basedOn w:val="BodyText"/>
    <w:rsid w:val="00AD1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EF0"/>
    <w:rPr>
      <w:rFonts w:ascii="Courier New" w:hAnsi="Courier New"/>
    </w:rPr>
  </w:style>
  <w:style w:type="paragraph" w:customStyle="1" w:styleId="NoteBullet">
    <w:name w:val="Note Bullet"/>
    <w:basedOn w:val="Note"/>
    <w:rsid w:val="00AD1EF0"/>
    <w:pPr>
      <w:tabs>
        <w:tab w:val="clear" w:pos="680"/>
      </w:tabs>
      <w:spacing w:before="60" w:after="60"/>
    </w:pPr>
  </w:style>
  <w:style w:type="paragraph" w:customStyle="1" w:styleId="SubHeading2">
    <w:name w:val="SubHeading2"/>
    <w:basedOn w:val="HeadingBase"/>
    <w:rsid w:val="00AD1EF0"/>
    <w:pPr>
      <w:spacing w:before="240" w:after="60"/>
    </w:pPr>
    <w:rPr>
      <w:sz w:val="20"/>
    </w:rPr>
  </w:style>
  <w:style w:type="paragraph" w:customStyle="1" w:styleId="SubHeading1">
    <w:name w:val="SubHeading1"/>
    <w:basedOn w:val="HeadingBase"/>
    <w:rsid w:val="00AD1EF0"/>
    <w:pPr>
      <w:spacing w:before="240" w:after="60"/>
    </w:pPr>
    <w:rPr>
      <w:color w:val="918585"/>
      <w:sz w:val="22"/>
    </w:rPr>
  </w:style>
  <w:style w:type="paragraph" w:customStyle="1" w:styleId="SideHeading">
    <w:name w:val="Side Heading"/>
    <w:basedOn w:val="HeadingBase"/>
    <w:rsid w:val="00AD1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EF0"/>
    <w:pPr>
      <w:tabs>
        <w:tab w:val="num" w:pos="360"/>
      </w:tabs>
    </w:pPr>
  </w:style>
  <w:style w:type="paragraph" w:styleId="PlainText">
    <w:name w:val="Plain Text"/>
    <w:basedOn w:val="Normal"/>
    <w:link w:val="PlainTextChar"/>
    <w:rsid w:val="00AD1EF0"/>
    <w:rPr>
      <w:sz w:val="20"/>
    </w:rPr>
  </w:style>
  <w:style w:type="character" w:customStyle="1" w:styleId="PlainTextChar">
    <w:name w:val="Plain Text Char"/>
    <w:basedOn w:val="DefaultParagraphFont"/>
    <w:link w:val="PlainText"/>
    <w:rsid w:val="00AD1EF0"/>
    <w:rPr>
      <w:rFonts w:ascii="Courier New" w:eastAsia="Times New Roman" w:hAnsi="Courier New" w:cs="Times New Roman"/>
      <w:sz w:val="20"/>
      <w:szCs w:val="20"/>
      <w:lang w:eastAsia="en-US"/>
    </w:rPr>
  </w:style>
  <w:style w:type="character" w:customStyle="1" w:styleId="MenuOption">
    <w:name w:val="Menu Option"/>
    <w:basedOn w:val="DefaultParagraphFont"/>
    <w:rsid w:val="00AD1EF0"/>
    <w:rPr>
      <w:b/>
      <w:smallCaps/>
    </w:rPr>
  </w:style>
  <w:style w:type="paragraph" w:customStyle="1" w:styleId="TableListNumber">
    <w:name w:val="Table List Number"/>
    <w:basedOn w:val="ListNumber"/>
    <w:rsid w:val="00AD1EF0"/>
    <w:pPr>
      <w:numPr>
        <w:numId w:val="0"/>
      </w:numPr>
    </w:pPr>
  </w:style>
  <w:style w:type="paragraph" w:styleId="TOC4">
    <w:name w:val="toc 4"/>
    <w:basedOn w:val="TOCBase"/>
    <w:next w:val="Normal"/>
    <w:semiHidden/>
    <w:rsid w:val="00AD1EF0"/>
    <w:pPr>
      <w:tabs>
        <w:tab w:val="right" w:leader="dot" w:pos="9071"/>
      </w:tabs>
      <w:ind w:left="1701"/>
    </w:pPr>
  </w:style>
  <w:style w:type="paragraph" w:customStyle="1" w:styleId="ListAlpha">
    <w:name w:val="List Alpha"/>
    <w:basedOn w:val="List"/>
    <w:rsid w:val="00AD1EF0"/>
    <w:pPr>
      <w:numPr>
        <w:numId w:val="8"/>
      </w:numPr>
    </w:pPr>
  </w:style>
  <w:style w:type="paragraph" w:customStyle="1" w:styleId="ListAlpha2">
    <w:name w:val="List Alpha 2"/>
    <w:basedOn w:val="List2"/>
    <w:rsid w:val="00AD1EF0"/>
    <w:pPr>
      <w:numPr>
        <w:numId w:val="7"/>
      </w:numPr>
    </w:pPr>
  </w:style>
  <w:style w:type="paragraph" w:styleId="List3">
    <w:name w:val="List 3"/>
    <w:basedOn w:val="BodyText"/>
    <w:rsid w:val="00AD1EF0"/>
    <w:pPr>
      <w:tabs>
        <w:tab w:val="left" w:pos="1021"/>
      </w:tabs>
      <w:spacing w:before="60" w:after="60"/>
      <w:ind w:left="1020" w:hanging="340"/>
    </w:pPr>
  </w:style>
  <w:style w:type="paragraph" w:styleId="List4">
    <w:name w:val="List 4"/>
    <w:basedOn w:val="BodyText"/>
    <w:rsid w:val="00AD1EF0"/>
    <w:pPr>
      <w:tabs>
        <w:tab w:val="left" w:pos="1361"/>
      </w:tabs>
      <w:spacing w:before="60" w:after="60"/>
      <w:ind w:left="1361" w:hanging="340"/>
    </w:pPr>
  </w:style>
  <w:style w:type="paragraph" w:styleId="List5">
    <w:name w:val="List 5"/>
    <w:basedOn w:val="BodyText"/>
    <w:rsid w:val="00AD1EF0"/>
    <w:pPr>
      <w:tabs>
        <w:tab w:val="left" w:pos="1701"/>
      </w:tabs>
      <w:spacing w:before="60" w:after="60"/>
      <w:ind w:left="1701" w:hanging="340"/>
    </w:pPr>
  </w:style>
  <w:style w:type="paragraph" w:styleId="ListBullet3">
    <w:name w:val="List Bullet 3"/>
    <w:basedOn w:val="List3"/>
    <w:rsid w:val="00AD1EF0"/>
    <w:pPr>
      <w:numPr>
        <w:numId w:val="14"/>
      </w:numPr>
      <w:tabs>
        <w:tab w:val="clear" w:pos="1021"/>
      </w:tabs>
      <w:ind w:left="1037" w:hanging="357"/>
    </w:pPr>
  </w:style>
  <w:style w:type="paragraph" w:styleId="ListBullet4">
    <w:name w:val="List Bullet 4"/>
    <w:basedOn w:val="List4"/>
    <w:rsid w:val="00AD1EF0"/>
    <w:pPr>
      <w:numPr>
        <w:numId w:val="2"/>
      </w:numPr>
    </w:pPr>
  </w:style>
  <w:style w:type="paragraph" w:styleId="ListBullet5">
    <w:name w:val="List Bullet 5"/>
    <w:basedOn w:val="List5"/>
    <w:rsid w:val="00AD1EF0"/>
    <w:pPr>
      <w:numPr>
        <w:numId w:val="3"/>
      </w:numPr>
    </w:pPr>
  </w:style>
  <w:style w:type="paragraph" w:styleId="ListContinue2">
    <w:name w:val="List Continue 2"/>
    <w:basedOn w:val="List2"/>
    <w:rsid w:val="00AD1EF0"/>
    <w:pPr>
      <w:ind w:firstLine="0"/>
    </w:pPr>
  </w:style>
  <w:style w:type="paragraph" w:styleId="ListContinue3">
    <w:name w:val="List Continue 3"/>
    <w:basedOn w:val="List3"/>
    <w:rsid w:val="00AD1EF0"/>
    <w:pPr>
      <w:ind w:left="1021" w:firstLine="0"/>
    </w:pPr>
  </w:style>
  <w:style w:type="paragraph" w:styleId="ListContinue4">
    <w:name w:val="List Continue 4"/>
    <w:basedOn w:val="List4"/>
    <w:rsid w:val="00AD1EF0"/>
    <w:pPr>
      <w:ind w:firstLine="0"/>
    </w:pPr>
  </w:style>
  <w:style w:type="paragraph" w:styleId="ListContinue5">
    <w:name w:val="List Continue 5"/>
    <w:basedOn w:val="List5"/>
    <w:rsid w:val="00AD1EF0"/>
    <w:pPr>
      <w:ind w:firstLine="0"/>
    </w:pPr>
  </w:style>
  <w:style w:type="paragraph" w:styleId="ListNumber3">
    <w:name w:val="List Number 3"/>
    <w:basedOn w:val="List3"/>
    <w:rsid w:val="00AD1EF0"/>
    <w:pPr>
      <w:numPr>
        <w:numId w:val="4"/>
      </w:numPr>
    </w:pPr>
  </w:style>
  <w:style w:type="paragraph" w:styleId="ListNumber4">
    <w:name w:val="List Number 4"/>
    <w:basedOn w:val="List4"/>
    <w:rsid w:val="00AD1EF0"/>
    <w:pPr>
      <w:numPr>
        <w:numId w:val="5"/>
      </w:numPr>
    </w:pPr>
  </w:style>
  <w:style w:type="paragraph" w:styleId="ListNumber5">
    <w:name w:val="List Number 5"/>
    <w:basedOn w:val="List5"/>
    <w:rsid w:val="00AD1EF0"/>
    <w:pPr>
      <w:numPr>
        <w:numId w:val="6"/>
      </w:numPr>
    </w:pPr>
  </w:style>
  <w:style w:type="paragraph" w:styleId="BlockText">
    <w:name w:val="Block Text"/>
    <w:basedOn w:val="Normal"/>
    <w:rsid w:val="00AD1EF0"/>
    <w:pPr>
      <w:spacing w:after="120"/>
      <w:ind w:left="1440" w:right="1440"/>
    </w:pPr>
  </w:style>
  <w:style w:type="character" w:customStyle="1" w:styleId="Subscript">
    <w:name w:val="Subscript"/>
    <w:basedOn w:val="DefaultParagraphFont"/>
    <w:rsid w:val="00AD1EF0"/>
    <w:rPr>
      <w:sz w:val="16"/>
      <w:vertAlign w:val="subscript"/>
    </w:rPr>
  </w:style>
  <w:style w:type="character" w:customStyle="1" w:styleId="Superscript">
    <w:name w:val="Superscript"/>
    <w:basedOn w:val="DefaultParagraphFont"/>
    <w:rsid w:val="00AD1EF0"/>
    <w:rPr>
      <w:sz w:val="16"/>
      <w:vertAlign w:val="superscript"/>
    </w:rPr>
  </w:style>
  <w:style w:type="character" w:customStyle="1" w:styleId="Symbols">
    <w:name w:val="Symbols"/>
    <w:basedOn w:val="DefaultParagraphFont"/>
    <w:rsid w:val="00AD1EF0"/>
    <w:rPr>
      <w:rFonts w:ascii="Symbol" w:hAnsi="Symbol"/>
    </w:rPr>
  </w:style>
  <w:style w:type="character" w:customStyle="1" w:styleId="MenuOptions">
    <w:name w:val="Menu Options"/>
    <w:basedOn w:val="DefaultParagraphFont"/>
    <w:rsid w:val="00AD1EF0"/>
    <w:rPr>
      <w:rFonts w:ascii="Arial Narrow" w:hAnsi="Arial Narrow"/>
      <w:smallCaps/>
    </w:rPr>
  </w:style>
  <w:style w:type="character" w:customStyle="1" w:styleId="Buttons">
    <w:name w:val="Buttons"/>
    <w:basedOn w:val="DefaultParagraphFont"/>
    <w:rsid w:val="00AD1EF0"/>
    <w:rPr>
      <w:b/>
    </w:rPr>
  </w:style>
  <w:style w:type="character" w:customStyle="1" w:styleId="Underlined">
    <w:name w:val="Underlined"/>
    <w:basedOn w:val="DefaultParagraphFont"/>
    <w:rsid w:val="00AD1EF0"/>
    <w:rPr>
      <w:u w:val="single"/>
    </w:rPr>
  </w:style>
  <w:style w:type="paragraph" w:customStyle="1" w:styleId="TableBodyTextRight">
    <w:name w:val="Table Body Text Right"/>
    <w:basedOn w:val="TableBodyText"/>
    <w:rsid w:val="00AD1EF0"/>
    <w:pPr>
      <w:widowControl w:val="0"/>
      <w:autoSpaceDE w:val="0"/>
      <w:autoSpaceDN w:val="0"/>
      <w:adjustRightInd w:val="0"/>
      <w:jc w:val="right"/>
    </w:pPr>
    <w:rPr>
      <w:rFonts w:cs="Arial"/>
      <w:szCs w:val="18"/>
    </w:rPr>
  </w:style>
  <w:style w:type="paragraph" w:customStyle="1" w:styleId="CopyrightText">
    <w:name w:val="Copyright Text"/>
    <w:basedOn w:val="BodyText"/>
    <w:rsid w:val="00AD1EF0"/>
    <w:rPr>
      <w:sz w:val="18"/>
    </w:rPr>
  </w:style>
  <w:style w:type="paragraph" w:customStyle="1" w:styleId="BodySmallRight">
    <w:name w:val="Body Small Right"/>
    <w:basedOn w:val="BodyTextRight"/>
    <w:rsid w:val="00AD1EF0"/>
    <w:rPr>
      <w:sz w:val="18"/>
      <w:szCs w:val="18"/>
    </w:rPr>
  </w:style>
  <w:style w:type="paragraph" w:customStyle="1" w:styleId="MarginEdition">
    <w:name w:val="Margin Edition"/>
    <w:basedOn w:val="MarginNote"/>
    <w:rsid w:val="00AD1EF0"/>
    <w:pPr>
      <w:spacing w:before="0" w:after="0"/>
    </w:pPr>
    <w:rPr>
      <w:rFonts w:ascii="Times New Roman" w:hAnsi="Times New Roman"/>
      <w:color w:val="999999"/>
    </w:rPr>
  </w:style>
  <w:style w:type="paragraph" w:customStyle="1" w:styleId="Spacer">
    <w:name w:val="Spacer"/>
    <w:basedOn w:val="Normal"/>
    <w:rsid w:val="00AD1EF0"/>
    <w:rPr>
      <w:sz w:val="2"/>
      <w:szCs w:val="2"/>
    </w:rPr>
  </w:style>
  <w:style w:type="character" w:customStyle="1" w:styleId="Small">
    <w:name w:val="Small"/>
    <w:basedOn w:val="DefaultParagraphFont"/>
    <w:rsid w:val="00AD1EF0"/>
    <w:rPr>
      <w:sz w:val="16"/>
    </w:rPr>
  </w:style>
  <w:style w:type="paragraph" w:customStyle="1" w:styleId="WideTable">
    <w:name w:val="Wide Table"/>
    <w:basedOn w:val="Normal"/>
    <w:rsid w:val="00AD1EF0"/>
    <w:pPr>
      <w:ind w:left="-1418"/>
    </w:pPr>
    <w:rPr>
      <w:sz w:val="2"/>
      <w:szCs w:val="2"/>
    </w:rPr>
  </w:style>
  <w:style w:type="character" w:styleId="PageNumber">
    <w:name w:val="page number"/>
    <w:basedOn w:val="DefaultParagraphFont"/>
    <w:rsid w:val="00AD1EF0"/>
  </w:style>
  <w:style w:type="paragraph" w:styleId="Quote">
    <w:name w:val="Quote"/>
    <w:basedOn w:val="Heading1"/>
    <w:link w:val="QuoteChar"/>
    <w:qFormat/>
    <w:rsid w:val="00AD1EF0"/>
    <w:rPr>
      <w:b w:val="0"/>
      <w:sz w:val="72"/>
      <w:szCs w:val="72"/>
      <w:lang w:val="en-NZ"/>
    </w:rPr>
  </w:style>
  <w:style w:type="character" w:customStyle="1" w:styleId="QuoteChar">
    <w:name w:val="Quote Char"/>
    <w:basedOn w:val="DefaultParagraphFont"/>
    <w:link w:val="Quote"/>
    <w:rsid w:val="00AD1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EF0"/>
    <w:pPr>
      <w:pageBreakBefore/>
    </w:pPr>
  </w:style>
  <w:style w:type="paragraph" w:customStyle="1" w:styleId="Border">
    <w:name w:val="Border"/>
    <w:basedOn w:val="Normal"/>
    <w:qFormat/>
    <w:rsid w:val="00AD1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EF0"/>
    <w:rPr>
      <w:b/>
      <w:bCs/>
      <w:i/>
      <w:iCs/>
      <w:color w:val="auto"/>
    </w:rPr>
  </w:style>
  <w:style w:type="paragraph" w:styleId="IntenseQuote">
    <w:name w:val="Intense Quote"/>
    <w:basedOn w:val="Normal"/>
    <w:next w:val="Normal"/>
    <w:link w:val="IntenseQuoteChar"/>
    <w:uiPriority w:val="30"/>
    <w:qFormat/>
    <w:rsid w:val="00AD1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E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EF0"/>
    <w:rPr>
      <w:smallCaps/>
      <w:color w:val="auto"/>
      <w:u w:val="single"/>
    </w:rPr>
  </w:style>
  <w:style w:type="character" w:styleId="IntenseReference">
    <w:name w:val="Intense Reference"/>
    <w:basedOn w:val="DefaultParagraphFont"/>
    <w:uiPriority w:val="32"/>
    <w:qFormat/>
    <w:rsid w:val="00AD1EF0"/>
    <w:rPr>
      <w:b/>
      <w:bCs/>
      <w:smallCaps/>
      <w:color w:val="auto"/>
      <w:spacing w:val="5"/>
      <w:u w:val="single"/>
    </w:rPr>
  </w:style>
  <w:style w:type="paragraph" w:customStyle="1" w:styleId="2ColumnHeading">
    <w:name w:val="2Column Heading"/>
    <w:basedOn w:val="BodyText"/>
    <w:qFormat/>
    <w:rsid w:val="00AD1EF0"/>
    <w:pPr>
      <w:spacing w:after="60"/>
      <w:ind w:left="-2268"/>
    </w:pPr>
    <w:rPr>
      <w:b/>
    </w:rPr>
  </w:style>
  <w:style w:type="paragraph" w:customStyle="1" w:styleId="Heading1TOC">
    <w:name w:val="Heading1 TOC"/>
    <w:basedOn w:val="Normal"/>
    <w:qFormat/>
    <w:rsid w:val="00AD1EF0"/>
    <w:pPr>
      <w:spacing w:before="240" w:after="120"/>
    </w:pPr>
    <w:rPr>
      <w:rFonts w:ascii="Times New Roman" w:hAnsi="Times New Roman"/>
      <w:b/>
      <w:sz w:val="32"/>
    </w:rPr>
  </w:style>
  <w:style w:type="paragraph" w:customStyle="1" w:styleId="Heading2TOC">
    <w:name w:val="Heading2 TOC"/>
    <w:basedOn w:val="Normal"/>
    <w:qFormat/>
    <w:rsid w:val="00AD1EF0"/>
    <w:pPr>
      <w:spacing w:before="240" w:after="60"/>
    </w:pPr>
    <w:rPr>
      <w:rFonts w:ascii="Times New Roman" w:hAnsi="Times New Roman"/>
      <w:b/>
      <w:sz w:val="28"/>
    </w:rPr>
  </w:style>
  <w:style w:type="character" w:customStyle="1" w:styleId="Underline">
    <w:name w:val="Underline"/>
    <w:basedOn w:val="DefaultParagraphFont"/>
    <w:qFormat/>
    <w:rsid w:val="00AD1EF0"/>
    <w:rPr>
      <w:u w:val="single"/>
    </w:rPr>
  </w:style>
  <w:style w:type="character" w:customStyle="1" w:styleId="BoldandItalics">
    <w:name w:val="Bold and Italics"/>
    <w:qFormat/>
    <w:rsid w:val="00AD1EF0"/>
    <w:rPr>
      <w:b/>
      <w:i/>
      <w:u w:val="none"/>
    </w:rPr>
  </w:style>
  <w:style w:type="paragraph" w:styleId="BalloonText">
    <w:name w:val="Balloon Text"/>
    <w:basedOn w:val="Normal"/>
    <w:link w:val="BalloonTextChar"/>
    <w:rsid w:val="00AD1EF0"/>
    <w:rPr>
      <w:rFonts w:ascii="Tahoma" w:hAnsi="Tahoma" w:cs="Tahoma"/>
      <w:sz w:val="16"/>
      <w:szCs w:val="16"/>
    </w:rPr>
  </w:style>
  <w:style w:type="character" w:customStyle="1" w:styleId="BalloonTextChar">
    <w:name w:val="Balloon Text Char"/>
    <w:basedOn w:val="DefaultParagraphFont"/>
    <w:link w:val="BalloonText"/>
    <w:rsid w:val="00AD1E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E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1E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EF0"/>
    <w:rPr>
      <w:b/>
      <w:color w:val="660033"/>
      <w:spacing w:val="0"/>
    </w:rPr>
  </w:style>
  <w:style w:type="paragraph" w:customStyle="1" w:styleId="Nameditemlist">
    <w:name w:val="Named item list"/>
    <w:basedOn w:val="BodyText"/>
    <w:qFormat/>
    <w:rsid w:val="00AD1E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1806</Words>
  <Characters>12014</Characters>
  <Application>Microsoft Office Word</Application>
  <DocSecurity>0</DocSecurity>
  <Lines>387</Lines>
  <Paragraphs>163</Paragraphs>
  <ScaleCrop>false</ScaleCrop>
  <Company>Author-it Software Corporation Ltd.</Company>
  <LinksUpToDate>false</LinksUpToDate>
  <CharactersWithSpaces>13711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AURV329603BA Apply solid acrylic enamel refinishing materials (two component system)</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2012-10-05T08:01:00Z</dcterms:created>
  <dcterms:modified xsi:type="dcterms:W3CDTF">2012-10-05T08:01:00Z</dcterms:modified>
</cp:coreProperties>
</file>