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F9F" w:rsidP="00B46F9F">
      <w:pPr>
        <w:pStyle w:val="Title"/>
      </w:pPr>
      <w:r>
        <w:fldChar w:fldCharType="begin"/>
      </w:r>
      <w:r>
        <w:instrText xml:space="preserve"> TITLE   \* MERGEFORMAT </w:instrText>
      </w:r>
      <w:r>
        <w:fldChar w:fldCharType="separate"/>
      </w:r>
      <w:r>
        <w:t>AURV233849A Prepare surfaces and apply window tinting</w:t>
      </w:r>
      <w:r>
        <w:fldChar w:fldCharType="end"/>
      </w:r>
    </w:p>
    <w:p w:rsidR="00B46F9F" w:rsidP="00B46F9F">
      <w:pPr>
        <w:pStyle w:val="Version"/>
        <w:sectPr w:rsidSect="003C06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6A2" w:rsidP="003C06A2">
      <w:pPr>
        <w:pStyle w:val="SuperHeading"/>
      </w:pPr>
      <w:r w:rsidRPr="003C06A2">
        <w:t>AURV233849A Prepare surfaces and apply window tinting</w:t>
      </w:r>
    </w:p>
    <w:p w:rsidR="00000000" w:rsidRPr="003C06A2" w:rsidP="003C06A2">
      <w:pPr>
        <w:pStyle w:val="Heading1"/>
      </w:pPr>
      <w:bookmarkStart w:id="1" w:name="O_268749"/>
      <w:bookmarkEnd w:id="1"/>
      <w:r w:rsidRPr="003C06A2">
        <w:t>Modification History</w:t>
      </w:r>
    </w:p>
    <w:p w:rsidR="00000000" w:rsidRPr="003C06A2" w:rsidP="003C06A2">
      <w:pPr>
        <w:pStyle w:val="BodyText"/>
      </w:pPr>
      <w:r w:rsidRPr="003C06A2">
        <w:t>Not Applicable</w:t>
      </w:r>
    </w:p>
    <w:p w:rsidR="00000000" w:rsidRPr="003C06A2" w:rsidP="003C06A2">
      <w:pPr>
        <w:pStyle w:val="AllowPageBreak"/>
      </w:pPr>
    </w:p>
    <w:p w:rsidR="00000000" w:rsidRPr="003C06A2" w:rsidP="003C06A2">
      <w:pPr>
        <w:pStyle w:val="Heading1"/>
      </w:pPr>
      <w:bookmarkStart w:id="2" w:name="O_194386"/>
      <w:bookmarkEnd w:id="2"/>
      <w:r w:rsidRPr="003C06A2">
        <w:t>Unit Descriptor</w:t>
      </w:r>
    </w:p>
    <w:tbl>
      <w:tblPr>
        <w:tblW w:w="0" w:type="auto"/>
        <w:tblLayout w:type="fixed"/>
        <w:tblCellMar>
          <w:left w:w="62" w:type="dxa"/>
          <w:right w:w="62" w:type="dxa"/>
        </w:tblCellMar>
        <w:tblLook w:val="0000"/>
      </w:tblPr>
      <w:tblGrid>
        <w:gridCol w:w="2671"/>
        <w:gridCol w:w="5851"/>
      </w:tblGrid>
      <w:tr w:rsidTr="00B46F9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This unit of competency covers the skills and knowledge required to prepare various surfaces and a</w:t>
            </w:r>
            <w:r w:rsidRPr="003C06A2">
              <w:t>pply window tinting material.</w:t>
            </w:r>
          </w:p>
        </w:tc>
      </w:tr>
    </w:tbl>
    <w:p w:rsidR="00B46F9F" w:rsidP="003C06A2">
      <w:pPr>
        <w:pStyle w:val="BodyText"/>
      </w:pPr>
    </w:p>
    <w:p w:rsidR="00B46F9F" w:rsidP="003C06A2">
      <w:pPr>
        <w:pStyle w:val="BodyText"/>
      </w:pPr>
    </w:p>
    <w:p w:rsidR="00000000" w:rsidRPr="003C06A2" w:rsidP="003C06A2">
      <w:pPr>
        <w:pStyle w:val="Heading1"/>
      </w:pPr>
      <w:bookmarkStart w:id="3" w:name="O_194390"/>
      <w:bookmarkEnd w:id="3"/>
      <w:r w:rsidRPr="003C06A2">
        <w:t>Application of the Unit</w:t>
      </w:r>
    </w:p>
    <w:tbl>
      <w:tblPr>
        <w:tblW w:w="0" w:type="auto"/>
        <w:tblLayout w:type="fixed"/>
        <w:tblCellMar>
          <w:left w:w="62" w:type="dxa"/>
          <w:right w:w="62" w:type="dxa"/>
        </w:tblCellMar>
        <w:tblLook w:val="0000"/>
      </w:tblPr>
      <w:tblGrid>
        <w:gridCol w:w="2747"/>
        <w:gridCol w:w="5775"/>
      </w:tblGrid>
      <w:tr w:rsidTr="00B46F9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 xml:space="preserve">The unit includes identification and confirmation of work requirement, preparation for work, measuring and cutting of tinting materials, preparation </w:t>
            </w:r>
            <w:r w:rsidRPr="003C06A2">
              <w:t>of the surface, application of window tint, storage of window tinting materials and completion of work finalisation processes, including clean-up and documentation.</w:t>
            </w:r>
          </w:p>
          <w:p w:rsidR="00000000" w:rsidRPr="003C06A2" w:rsidP="003C06A2">
            <w:pPr>
              <w:pStyle w:val="BodyText"/>
            </w:pPr>
            <w:r w:rsidRPr="003C06A2">
              <w:t>Work requires individuals to demonstrate judgement and problem-solving skills in managing o</w:t>
            </w:r>
            <w:r w:rsidRPr="003C06A2">
              <w:t>wn work activities and contributing to a productive team environment.</w:t>
            </w:r>
          </w:p>
          <w:p w:rsidR="00000000" w:rsidRPr="003C06A2" w:rsidP="003C06A2">
            <w:pPr>
              <w:pStyle w:val="BodyText"/>
            </w:pPr>
            <w:r w:rsidRPr="003C06A2">
              <w:t>Work is carried out in accordance with award provisions.</w:t>
            </w:r>
          </w:p>
        </w:tc>
      </w:tr>
    </w:tbl>
    <w:p w:rsidR="00B46F9F" w:rsidP="003C06A2">
      <w:pPr>
        <w:pStyle w:val="BodyText"/>
      </w:pPr>
    </w:p>
    <w:p w:rsidR="00B46F9F" w:rsidP="003C06A2">
      <w:pPr>
        <w:pStyle w:val="BodyText"/>
      </w:pPr>
    </w:p>
    <w:p w:rsidR="00000000" w:rsidRPr="003C06A2" w:rsidP="003C06A2">
      <w:pPr>
        <w:pStyle w:val="Heading1"/>
      </w:pPr>
      <w:bookmarkStart w:id="4" w:name="O_277009"/>
      <w:bookmarkEnd w:id="4"/>
      <w:r w:rsidRPr="003C06A2">
        <w:t>Licensing/Regulatory Information</w:t>
      </w:r>
    </w:p>
    <w:p w:rsidR="00000000" w:rsidRPr="003C06A2" w:rsidP="003C06A2">
      <w:pPr>
        <w:pStyle w:val="BodyText"/>
      </w:pPr>
      <w:r w:rsidRPr="003C06A2">
        <w:t>Not Applicable</w:t>
      </w:r>
    </w:p>
    <w:p w:rsidR="00000000" w:rsidRPr="003C06A2" w:rsidP="003C06A2">
      <w:pPr>
        <w:pStyle w:val="AllowPageBreak"/>
      </w:pPr>
    </w:p>
    <w:p w:rsidR="00000000" w:rsidRPr="003C06A2" w:rsidP="003C06A2">
      <w:pPr>
        <w:pStyle w:val="Heading1"/>
      </w:pPr>
      <w:bookmarkStart w:id="5" w:name="O_194388"/>
      <w:bookmarkEnd w:id="5"/>
      <w:r w:rsidRPr="003C06A2">
        <w:t>Pre-Requisites</w:t>
      </w:r>
    </w:p>
    <w:tbl>
      <w:tblPr>
        <w:tblW w:w="0" w:type="auto"/>
        <w:tblLayout w:type="fixed"/>
        <w:tblCellMar>
          <w:left w:w="62" w:type="dxa"/>
          <w:right w:w="62" w:type="dxa"/>
        </w:tblCellMar>
        <w:tblLook w:val="0000"/>
      </w:tblPr>
      <w:tblGrid>
        <w:gridCol w:w="2775"/>
        <w:gridCol w:w="1295"/>
        <w:gridCol w:w="4452"/>
      </w:tblGrid>
      <w:tr w:rsidTr="00B46F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p>
        </w:tc>
      </w:tr>
      <w:tr w:rsidTr="00B46F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p>
        </w:tc>
      </w:tr>
      <w:tr w:rsidTr="00B46F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p>
        </w:tc>
      </w:tr>
    </w:tbl>
    <w:p w:rsidR="00B46F9F" w:rsidP="003C06A2">
      <w:pPr>
        <w:pStyle w:val="BodyText"/>
      </w:pPr>
    </w:p>
    <w:p w:rsidR="00B46F9F" w:rsidP="003C06A2">
      <w:pPr>
        <w:pStyle w:val="BodyText"/>
      </w:pPr>
    </w:p>
    <w:p w:rsidR="00000000" w:rsidRPr="003C06A2" w:rsidP="003C06A2">
      <w:pPr>
        <w:pStyle w:val="Heading1"/>
      </w:pPr>
      <w:bookmarkStart w:id="6" w:name="O_194387"/>
      <w:bookmarkEnd w:id="6"/>
      <w:r w:rsidRPr="003C06A2">
        <w:t>Employability Skills Information</w:t>
      </w:r>
    </w:p>
    <w:tbl>
      <w:tblPr>
        <w:tblW w:w="0" w:type="auto"/>
        <w:tblLayout w:type="fixed"/>
        <w:tblCellMar>
          <w:left w:w="62" w:type="dxa"/>
          <w:right w:w="62" w:type="dxa"/>
        </w:tblCellMar>
        <w:tblLook w:val="0000"/>
      </w:tblPr>
      <w:tblGrid>
        <w:gridCol w:w="2802"/>
        <w:gridCol w:w="5720"/>
      </w:tblGrid>
      <w:tr w:rsidTr="00B46F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This unit contains employability skills.</w:t>
            </w:r>
          </w:p>
        </w:tc>
      </w:tr>
    </w:tbl>
    <w:p w:rsidR="00B46F9F" w:rsidP="003C06A2">
      <w:pPr>
        <w:pStyle w:val="BodyText"/>
      </w:pPr>
    </w:p>
    <w:p w:rsidR="00B46F9F" w:rsidP="003C06A2">
      <w:pPr>
        <w:pStyle w:val="BodyText"/>
      </w:pPr>
    </w:p>
    <w:p w:rsidR="00000000" w:rsidRPr="003C06A2" w:rsidP="003C06A2">
      <w:pPr>
        <w:pStyle w:val="Heading1"/>
      </w:pPr>
      <w:bookmarkStart w:id="7" w:name="O_286795"/>
      <w:bookmarkEnd w:id="7"/>
      <w:r w:rsidRPr="003C06A2">
        <w:t>Elements and Performance Criteria Pre-Content</w:t>
      </w:r>
    </w:p>
    <w:tbl>
      <w:tblPr>
        <w:tblW w:w="0" w:type="auto"/>
        <w:tblLayout w:type="fixed"/>
        <w:tblCellMar>
          <w:left w:w="62" w:type="dxa"/>
          <w:right w:w="62" w:type="dxa"/>
        </w:tblCellMar>
        <w:tblLook w:val="0000"/>
      </w:tblPr>
      <w:tblGrid>
        <w:gridCol w:w="2604"/>
        <w:gridCol w:w="5918"/>
      </w:tblGrid>
      <w:tr w:rsidTr="00B46F9F">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Performance criteria describe the performance needed to demonstrate achievement of the element.  Where bold italicised text is used, further information is detailed in the required skills and knowledge section and the range statement.  Assessment of perfor</w:t>
            </w:r>
            <w:r w:rsidRPr="003C06A2">
              <w:t>mance is to be consistent with the evidence guide.</w:t>
            </w:r>
          </w:p>
        </w:tc>
      </w:tr>
    </w:tbl>
    <w:p w:rsidR="00000000" w:rsidRPr="003C06A2" w:rsidP="003C06A2">
      <w:pPr>
        <w:pStyle w:val="BodyText"/>
      </w:pPr>
    </w:p>
    <w:p w:rsidR="00000000" w:rsidRPr="003C06A2" w:rsidP="003C06A2">
      <w:pPr>
        <w:pStyle w:val="AllowPageBreak"/>
      </w:pPr>
    </w:p>
    <w:p w:rsidR="00000000" w:rsidRPr="003C06A2" w:rsidP="003C06A2">
      <w:pPr>
        <w:pStyle w:val="Heading1"/>
      </w:pPr>
      <w:bookmarkStart w:id="8" w:name="O_233462"/>
      <w:bookmarkEnd w:id="8"/>
      <w:r w:rsidRPr="003C06A2">
        <w:t>Elements and Performance Criteria</w:t>
      </w:r>
    </w:p>
    <w:tbl>
      <w:tblPr>
        <w:tblW w:w="0" w:type="auto"/>
        <w:tblLayout w:type="fixed"/>
        <w:tblCellMar>
          <w:left w:w="62" w:type="dxa"/>
          <w:right w:w="62" w:type="dxa"/>
        </w:tblCellMar>
        <w:tblLook w:val="0000"/>
      </w:tblPr>
      <w:tblGrid>
        <w:gridCol w:w="2604"/>
        <w:gridCol w:w="5918"/>
      </w:tblGrid>
      <w:tr w:rsidTr="00B46F9F">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PERFORMANCE CRITERIA</w:t>
            </w:r>
          </w:p>
        </w:tc>
      </w:tr>
      <w:tr w:rsidTr="00B46F9F">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List"/>
              <w:rPr>
                <w:lang w:val="en-NZ"/>
              </w:rPr>
            </w:pPr>
            <w:r w:rsidRPr="003C06A2">
              <w:t>1.</w:t>
            </w:r>
            <w:r w:rsidRPr="003C06A2">
              <w:tab/>
              <w:t>Prepare for work</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List2"/>
            </w:pPr>
            <w:r w:rsidRPr="003C06A2">
              <w:t>1.1.</w:t>
            </w:r>
            <w:r w:rsidRPr="003C06A2">
              <w:tab/>
            </w:r>
            <w:r w:rsidRPr="003C06A2">
              <w:t>Work instructions are used to determine job requirements, including method, material and equipment.</w:t>
            </w:r>
          </w:p>
          <w:p w:rsidR="00000000" w:rsidRPr="003C06A2" w:rsidP="003C06A2">
            <w:pPr>
              <w:pStyle w:val="List2"/>
            </w:pPr>
            <w:r w:rsidRPr="003C06A2">
              <w:t>1.2.</w:t>
            </w:r>
            <w:r w:rsidRPr="003C06A2">
              <w:tab/>
              <w:t>Job specifications are read and interpreted.</w:t>
            </w:r>
          </w:p>
          <w:p w:rsidR="00000000" w:rsidRPr="003C06A2" w:rsidP="003C06A2">
            <w:pPr>
              <w:pStyle w:val="List2"/>
            </w:pPr>
            <w:r w:rsidRPr="003C06A2">
              <w:t>1.3.</w:t>
            </w:r>
            <w:r w:rsidRPr="003C06A2">
              <w:tab/>
              <w:t>OHS requirements, including dust and fume collection, breathing apparatus, eye and ear personal prote</w:t>
            </w:r>
            <w:r w:rsidRPr="003C06A2">
              <w:t>ction needs are observed throughout the work.</w:t>
            </w:r>
          </w:p>
          <w:p w:rsidR="00000000" w:rsidRPr="003C06A2" w:rsidP="003C06A2">
            <w:pPr>
              <w:pStyle w:val="List2"/>
            </w:pPr>
            <w:r w:rsidRPr="003C06A2">
              <w:t>1.4.</w:t>
            </w:r>
            <w:r w:rsidRPr="003C06A2">
              <w:tab/>
              <w:t>Materials for use are selected.</w:t>
            </w:r>
          </w:p>
          <w:p w:rsidR="00000000" w:rsidRPr="003C06A2" w:rsidP="003C06A2">
            <w:pPr>
              <w:pStyle w:val="List2"/>
            </w:pPr>
            <w:r w:rsidRPr="003C06A2">
              <w:t>1.5.</w:t>
            </w:r>
            <w:r w:rsidRPr="003C06A2">
              <w:tab/>
              <w:t>Equipment and tooling are identified and checked for safe and effective operation.</w:t>
            </w:r>
          </w:p>
          <w:p w:rsidR="00000000" w:rsidRPr="003C06A2" w:rsidP="003C06A2">
            <w:pPr>
              <w:pStyle w:val="List2"/>
            </w:pPr>
            <w:r w:rsidRPr="003C06A2">
              <w:t>1.6.</w:t>
            </w:r>
            <w:r w:rsidRPr="003C06A2">
              <w:tab/>
              <w:t>Procedures are determined to minimise waste material.</w:t>
            </w:r>
          </w:p>
          <w:p w:rsidR="00000000" w:rsidP="003C06A2">
            <w:pPr>
              <w:pStyle w:val="List2"/>
              <w:rPr>
                <w:lang w:val="en-NZ"/>
              </w:rPr>
            </w:pPr>
            <w:r w:rsidRPr="003C06A2">
              <w:t>1.7.</w:t>
            </w:r>
            <w:r w:rsidRPr="003C06A2">
              <w:tab/>
              <w:t>Procedures are identi</w:t>
            </w:r>
            <w:r w:rsidRPr="003C06A2">
              <w:t>fied for maximising energy efficiency while completing the job.</w:t>
            </w:r>
          </w:p>
        </w:tc>
      </w:tr>
      <w:tr w:rsidTr="00B46F9F">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List"/>
              <w:rPr>
                <w:lang w:val="en-NZ"/>
              </w:rPr>
            </w:pPr>
            <w:r w:rsidRPr="003C06A2">
              <w:t>2.</w:t>
            </w:r>
            <w:r w:rsidRPr="003C06A2">
              <w:tab/>
              <w:t>Measure and cut tinting material/template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List2"/>
            </w:pPr>
            <w:r w:rsidRPr="003C06A2">
              <w:t>2.1.</w:t>
            </w:r>
            <w:r w:rsidRPr="003C06A2">
              <w:tab/>
              <w:t>Information is accessed from manufacturer/component supplier specifications and interpreted.</w:t>
            </w:r>
          </w:p>
          <w:p w:rsidR="00000000" w:rsidRPr="003C06A2" w:rsidP="003C06A2">
            <w:pPr>
              <w:pStyle w:val="List2"/>
            </w:pPr>
            <w:r w:rsidRPr="003C06A2">
              <w:t>2.2.</w:t>
            </w:r>
            <w:r w:rsidRPr="003C06A2">
              <w:tab/>
            </w:r>
            <w:r w:rsidRPr="003C06A2">
              <w:t>Measurement, cutting and template production are performed according to accepted industry methods, materials and procedures.</w:t>
            </w:r>
          </w:p>
          <w:p w:rsidR="00000000" w:rsidRPr="003C06A2" w:rsidP="003C06A2">
            <w:pPr>
              <w:pStyle w:val="List2"/>
            </w:pPr>
            <w:r w:rsidRPr="003C06A2">
              <w:t>2.3.</w:t>
            </w:r>
            <w:r w:rsidRPr="003C06A2">
              <w:tab/>
              <w:t>Surfaces are measured, and materials and templates are cut without causing damage to component or system.</w:t>
            </w:r>
          </w:p>
          <w:p w:rsidR="00000000" w:rsidRPr="003C06A2" w:rsidP="003C06A2">
            <w:pPr>
              <w:pStyle w:val="List2"/>
            </w:pPr>
            <w:r w:rsidRPr="003C06A2">
              <w:t>2.4.</w:t>
            </w:r>
            <w:r w:rsidRPr="003C06A2">
              <w:tab/>
              <w:t>Workplace docum</w:t>
            </w:r>
            <w:r w:rsidRPr="003C06A2">
              <w:t>entation is completed and dealt with relevant to measuring and cutting outcomes.</w:t>
            </w:r>
          </w:p>
          <w:p w:rsidR="00000000" w:rsidP="003C06A2">
            <w:pPr>
              <w:pStyle w:val="List2"/>
              <w:rPr>
                <w:lang w:val="en-NZ"/>
              </w:rPr>
            </w:pPr>
            <w:r w:rsidRPr="003C06A2">
              <w:t>2.5.</w:t>
            </w:r>
            <w:r w:rsidRPr="003C06A2">
              <w:tab/>
              <w:t>Measurement, cutting and template production are to be carried out according to industry regulations/guidelines, OH&amp;S requirements, legislation and enterprise procedures/</w:t>
            </w:r>
            <w:r w:rsidRPr="003C06A2">
              <w:t>policies.</w:t>
            </w:r>
          </w:p>
        </w:tc>
      </w:tr>
      <w:tr w:rsidTr="00B46F9F">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List"/>
              <w:rPr>
                <w:lang w:val="en-NZ"/>
              </w:rPr>
            </w:pPr>
            <w:r w:rsidRPr="003C06A2">
              <w:t>3.</w:t>
            </w:r>
            <w:r w:rsidRPr="003C06A2">
              <w:tab/>
              <w:t>Prepare surfaces and apply window tinting material</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List2"/>
            </w:pPr>
            <w:r w:rsidRPr="003C06A2">
              <w:t>3.1.</w:t>
            </w:r>
            <w:r w:rsidRPr="003C06A2">
              <w:tab/>
              <w:t>Information required for surface preparation and tinting is accessed from manufacturer/component supplier specifications and interpreted.</w:t>
            </w:r>
          </w:p>
          <w:p w:rsidR="00000000" w:rsidRPr="003C06A2" w:rsidP="003C06A2">
            <w:pPr>
              <w:pStyle w:val="List2"/>
            </w:pPr>
            <w:r w:rsidRPr="003C06A2">
              <w:t>3.2.</w:t>
            </w:r>
            <w:r w:rsidRPr="003C06A2">
              <w:tab/>
              <w:t>Surface preparation is carried out using ap</w:t>
            </w:r>
            <w:r w:rsidRPr="003C06A2">
              <w:t>proved methods, materials and equipment, according to the specifications of the tinting material to be applied.</w:t>
            </w:r>
          </w:p>
          <w:p w:rsidR="00000000" w:rsidRPr="003C06A2" w:rsidP="003C06A2">
            <w:pPr>
              <w:pStyle w:val="List2"/>
            </w:pPr>
            <w:r w:rsidRPr="003C06A2">
              <w:t>3.3.</w:t>
            </w:r>
            <w:r w:rsidRPr="003C06A2">
              <w:tab/>
              <w:t>Window tinting material is applied according to manufacturer/component supplier specifications and tolerances.</w:t>
            </w:r>
          </w:p>
          <w:p w:rsidR="00000000" w:rsidRPr="003C06A2" w:rsidP="003C06A2">
            <w:pPr>
              <w:pStyle w:val="List2"/>
            </w:pPr>
            <w:r w:rsidRPr="003C06A2">
              <w:t>3.4.</w:t>
            </w:r>
            <w:r w:rsidRPr="003C06A2">
              <w:tab/>
              <w:t>Tinting applications ar</w:t>
            </w:r>
            <w:r w:rsidRPr="003C06A2">
              <w:t>e inspected and tested in accordance with authorised procedures prior to placing into service.</w:t>
            </w:r>
          </w:p>
          <w:p w:rsidR="00000000" w:rsidRPr="003C06A2" w:rsidP="003C06A2">
            <w:pPr>
              <w:pStyle w:val="List2"/>
            </w:pPr>
            <w:r w:rsidRPr="003C06A2">
              <w:t>3.5.</w:t>
            </w:r>
            <w:r w:rsidRPr="003C06A2">
              <w:tab/>
              <w:t>Work is completed without causing damage to component or system.</w:t>
            </w:r>
          </w:p>
          <w:p w:rsidR="00000000" w:rsidRPr="003C06A2" w:rsidP="003C06A2">
            <w:pPr>
              <w:pStyle w:val="List2"/>
            </w:pPr>
            <w:r w:rsidRPr="003C06A2">
              <w:t>3.6.</w:t>
            </w:r>
            <w:r w:rsidRPr="003C06A2">
              <w:tab/>
              <w:t>Surface preparations and tinting applications are carried out according to industry re</w:t>
            </w:r>
            <w:r w:rsidRPr="003C06A2">
              <w:t>gulations/guidelines, OHS requirements, legislation and enterprise procedures/policies.</w:t>
            </w:r>
          </w:p>
          <w:p w:rsidR="00000000" w:rsidP="003C06A2">
            <w:pPr>
              <w:pStyle w:val="List2"/>
              <w:rPr>
                <w:lang w:val="en-NZ"/>
              </w:rPr>
            </w:pPr>
            <w:r w:rsidRPr="003C06A2">
              <w:t>3.7.</w:t>
            </w:r>
            <w:r w:rsidRPr="003C06A2">
              <w:tab/>
              <w:t>Workplace documentation is completed and dealt with relevant to the tinting outcomes.</w:t>
            </w:r>
          </w:p>
        </w:tc>
      </w:tr>
      <w:tr w:rsidTr="00B46F9F">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List"/>
              <w:rPr>
                <w:lang w:val="en-NZ"/>
              </w:rPr>
            </w:pPr>
            <w:r w:rsidRPr="003C06A2">
              <w:t>4.</w:t>
            </w:r>
            <w:r w:rsidRPr="003C06A2">
              <w:tab/>
              <w:t xml:space="preserve">Store window tinting material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List2"/>
            </w:pPr>
            <w:r w:rsidRPr="003C06A2">
              <w:t>4.1.</w:t>
            </w:r>
            <w:r w:rsidRPr="003C06A2">
              <w:tab/>
              <w:t>Information relating to storage is ac</w:t>
            </w:r>
            <w:r w:rsidRPr="003C06A2">
              <w:t>cessed and interpreted from manufacturer/component supplier specifications.</w:t>
            </w:r>
          </w:p>
          <w:p w:rsidR="00000000" w:rsidRPr="003C06A2" w:rsidP="003C06A2">
            <w:pPr>
              <w:pStyle w:val="List2"/>
            </w:pPr>
            <w:r w:rsidRPr="003C06A2">
              <w:t>4.2.</w:t>
            </w:r>
            <w:r w:rsidRPr="003C06A2">
              <w:tab/>
              <w:t>Window tinting material is stored without causing damage to component or system.</w:t>
            </w:r>
          </w:p>
          <w:p w:rsidR="00000000" w:rsidRPr="003C06A2" w:rsidP="003C06A2">
            <w:pPr>
              <w:pStyle w:val="List2"/>
            </w:pPr>
            <w:r w:rsidRPr="003C06A2">
              <w:t>4.3.</w:t>
            </w:r>
            <w:r w:rsidRPr="003C06A2">
              <w:tab/>
              <w:t>Storage is carried out according to industry regulations/guidelines, OHS requirements, l</w:t>
            </w:r>
            <w:r w:rsidRPr="003C06A2">
              <w:t>egislation and enterprise procedures/policies.</w:t>
            </w:r>
          </w:p>
          <w:p w:rsidR="00000000" w:rsidP="003C06A2">
            <w:pPr>
              <w:pStyle w:val="List2"/>
              <w:rPr>
                <w:lang w:val="en-NZ"/>
              </w:rPr>
            </w:pPr>
            <w:r w:rsidRPr="003C06A2">
              <w:t>4.4.</w:t>
            </w:r>
            <w:r w:rsidRPr="003C06A2">
              <w:tab/>
              <w:t>Workplace documentation is completed and dealt with relevant to material storage outcomes.</w:t>
            </w:r>
          </w:p>
        </w:tc>
      </w:tr>
      <w:tr w:rsidTr="00B46F9F">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List"/>
              <w:rPr>
                <w:lang w:val="en-NZ"/>
              </w:rPr>
            </w:pPr>
            <w:r w:rsidRPr="003C06A2">
              <w:t>5.</w:t>
            </w:r>
            <w:r w:rsidRPr="003C06A2">
              <w:tab/>
              <w:t>Clean up work area and maintain equipment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List2"/>
            </w:pPr>
            <w:r w:rsidRPr="003C06A2">
              <w:t>5.1.</w:t>
            </w:r>
            <w:r w:rsidRPr="003C06A2">
              <w:tab/>
              <w:t>Material that can be reused is collected and stored.</w:t>
            </w:r>
          </w:p>
          <w:p w:rsidR="00000000" w:rsidRPr="003C06A2" w:rsidP="003C06A2">
            <w:pPr>
              <w:pStyle w:val="List2"/>
            </w:pPr>
            <w:r w:rsidRPr="003C06A2">
              <w:t>5.2.</w:t>
            </w:r>
            <w:r w:rsidRPr="003C06A2">
              <w:tab/>
              <w:t>Wast</w:t>
            </w:r>
            <w:r w:rsidRPr="003C06A2">
              <w:t>e and scrap are removed following workplace and environmental procedures.</w:t>
            </w:r>
          </w:p>
          <w:p w:rsidR="00000000" w:rsidRPr="003C06A2" w:rsidP="003C06A2">
            <w:pPr>
              <w:pStyle w:val="List2"/>
            </w:pPr>
            <w:r w:rsidRPr="003C06A2">
              <w:t>5.3.</w:t>
            </w:r>
            <w:r w:rsidRPr="003C06A2">
              <w:tab/>
              <w:t>Equipment and work area are cleaned and inspected for serviceable condition in accordance with workplace procedures.</w:t>
            </w:r>
          </w:p>
          <w:p w:rsidR="00000000" w:rsidRPr="003C06A2" w:rsidP="003C06A2">
            <w:pPr>
              <w:pStyle w:val="List2"/>
            </w:pPr>
            <w:r w:rsidRPr="003C06A2">
              <w:t>5.4.</w:t>
            </w:r>
            <w:r w:rsidRPr="003C06A2">
              <w:tab/>
              <w:t>Unserviceable equipment is tagged and faults identified</w:t>
            </w:r>
            <w:r w:rsidRPr="003C06A2">
              <w:t xml:space="preserve"> in accordance with workplace requirements.</w:t>
            </w:r>
          </w:p>
          <w:p w:rsidR="00000000" w:rsidRPr="003C06A2" w:rsidP="003C06A2">
            <w:pPr>
              <w:pStyle w:val="List2"/>
            </w:pPr>
            <w:r w:rsidRPr="003C06A2">
              <w:t>5.5.</w:t>
            </w:r>
            <w:r w:rsidRPr="003C06A2">
              <w:tab/>
              <w:t>Operator maintenance is completed in accordance with manufacturer/component supplier specifications and worksite procedures.</w:t>
            </w:r>
          </w:p>
          <w:p w:rsidR="00000000" w:rsidRPr="003C06A2" w:rsidP="003C06A2">
            <w:pPr>
              <w:pStyle w:val="List2"/>
            </w:pPr>
            <w:r w:rsidRPr="003C06A2">
              <w:t>5.6.</w:t>
            </w:r>
            <w:r w:rsidRPr="003C06A2">
              <w:tab/>
              <w:t>Tooling is maintained in accordance with workplace procedures.</w:t>
            </w:r>
          </w:p>
        </w:tc>
      </w:tr>
    </w:tbl>
    <w:p w:rsidR="00B46F9F" w:rsidP="003C06A2">
      <w:pPr>
        <w:pStyle w:val="BodyText"/>
      </w:pPr>
    </w:p>
    <w:p w:rsidR="00B46F9F" w:rsidP="003C06A2">
      <w:pPr>
        <w:pStyle w:val="BodyText"/>
      </w:pPr>
    </w:p>
    <w:p w:rsidR="00000000" w:rsidRPr="003C06A2" w:rsidP="003C06A2">
      <w:pPr>
        <w:pStyle w:val="Heading1"/>
      </w:pPr>
      <w:bookmarkStart w:id="9" w:name="O_257412"/>
      <w:bookmarkEnd w:id="9"/>
      <w:r w:rsidRPr="003C06A2">
        <w:t>Required Skills and Knowledge</w:t>
      </w:r>
    </w:p>
    <w:tbl>
      <w:tblPr>
        <w:tblW w:w="0" w:type="auto"/>
        <w:tblLayout w:type="fixed"/>
        <w:tblCellMar>
          <w:left w:w="62" w:type="dxa"/>
          <w:right w:w="62" w:type="dxa"/>
        </w:tblCellMar>
        <w:tblLook w:val="0000"/>
      </w:tblPr>
      <w:tblGrid>
        <w:gridCol w:w="8522"/>
      </w:tblGrid>
      <w:tr w:rsidTr="00B46F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REQUIRED SKILLS AND KNOWLEDGE</w:t>
            </w:r>
          </w:p>
        </w:tc>
      </w:tr>
      <w:tr w:rsidTr="00B46F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t>This section describes the skills and knowledge required for this unit.</w:t>
            </w:r>
          </w:p>
        </w:tc>
      </w:tr>
      <w:tr w:rsidTr="00B46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Required skills</w:t>
            </w:r>
          </w:p>
        </w:tc>
      </w:tr>
      <w:tr w:rsidTr="00B46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Required skills include:</w:t>
            </w:r>
          </w:p>
          <w:p w:rsidR="00000000" w:rsidRPr="003C06A2" w:rsidP="003C06A2">
            <w:pPr>
              <w:pStyle w:val="ListBullet"/>
            </w:pPr>
            <w:r w:rsidRPr="003C06A2">
              <w:t>collect, organise and understand information related to work orders, plans and safety procedures for surface preparation and window tinting material application</w:t>
            </w:r>
          </w:p>
          <w:p w:rsidR="00000000" w:rsidRPr="003C06A2" w:rsidP="003C06A2">
            <w:pPr>
              <w:pStyle w:val="ListBullet"/>
            </w:pPr>
            <w:r w:rsidRPr="003C06A2">
              <w:t>communicate ideas and information to enable confirmation of work requirements and specification</w:t>
            </w:r>
            <w:r w:rsidRPr="003C06A2">
              <w:t>s, coordination of work with worksite supervisor, other workers and customers, and the reporting of work outcomes and problems</w:t>
            </w:r>
          </w:p>
          <w:p w:rsidR="00000000" w:rsidRPr="003C06A2" w:rsidP="003C06A2">
            <w:pPr>
              <w:pStyle w:val="ListBullet"/>
            </w:pPr>
            <w:r w:rsidRPr="003C06A2">
              <w:t>plan and organise activities, including preparation and layout of worksite and obtaining of equipment and material to avoid backt</w:t>
            </w:r>
            <w:r w:rsidRPr="003C06A2">
              <w:t>racking, workflow interruptions or wastage</w:t>
            </w:r>
          </w:p>
          <w:p w:rsidR="00000000" w:rsidRPr="003C06A2" w:rsidP="003C06A2">
            <w:pPr>
              <w:pStyle w:val="ListBullet"/>
            </w:pPr>
            <w:r w:rsidRPr="003C06A2">
              <w:t>work with others and in a team by recognising dependencies and using cooperative approaches to optimise workflow and productivity</w:t>
            </w:r>
          </w:p>
          <w:p w:rsidR="00000000" w:rsidRPr="003C06A2" w:rsidP="003C06A2">
            <w:pPr>
              <w:pStyle w:val="ListBullet"/>
            </w:pPr>
            <w:r w:rsidRPr="003C06A2">
              <w:t>use mathematical ideas and techniques to calculate time, apply accurate measurement</w:t>
            </w:r>
            <w:r w:rsidRPr="003C06A2">
              <w:t>s, calculate material requirements and establish quality checks</w:t>
            </w:r>
          </w:p>
          <w:p w:rsidR="00000000" w:rsidRPr="003C06A2" w:rsidP="003C06A2">
            <w:pPr>
              <w:pStyle w:val="ListBullet"/>
            </w:pPr>
            <w:r w:rsidRPr="003C06A2">
              <w:t>establish safe and effective work processes which anticipate and/or resolve problems and downtime, to systematically develop solutions to avoid or minimise reworking and wastage</w:t>
            </w:r>
          </w:p>
          <w:p w:rsidR="00000000" w:rsidP="003C06A2">
            <w:pPr>
              <w:pStyle w:val="ListBullet"/>
              <w:rPr>
                <w:lang w:val="en-NZ"/>
              </w:rPr>
            </w:pPr>
            <w:r w:rsidRPr="003C06A2">
              <w:t>use workplace technology related to the preparation of surfaces and the application of window tinting, including the use of measuring equipment, computerised technology and communication devices and the reporting/documenting of results</w:t>
            </w:r>
          </w:p>
        </w:tc>
      </w:tr>
      <w:tr w:rsidTr="00B46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Required knowledge</w:t>
            </w:r>
          </w:p>
        </w:tc>
      </w:tr>
      <w:tr w:rsidTr="00B46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A working knowledge of:</w:t>
            </w:r>
          </w:p>
          <w:p w:rsidR="00000000" w:rsidRPr="003C06A2" w:rsidP="003C06A2">
            <w:pPr>
              <w:pStyle w:val="ListBullet"/>
            </w:pPr>
            <w:r w:rsidRPr="003C06A2">
              <w:t>OHS regulations/requirements, equipment, material and personal safety requirements</w:t>
            </w:r>
          </w:p>
          <w:p w:rsidR="00000000" w:rsidRPr="003C06A2" w:rsidP="003C06A2">
            <w:pPr>
              <w:pStyle w:val="ListBullet"/>
            </w:pPr>
            <w:r w:rsidRPr="003C06A2">
              <w:t>the necessary cleaning agents and cleaning procedures</w:t>
            </w:r>
          </w:p>
          <w:p w:rsidR="00000000" w:rsidRPr="003C06A2" w:rsidP="003C06A2">
            <w:pPr>
              <w:pStyle w:val="ListBullet"/>
            </w:pPr>
            <w:r w:rsidRPr="003C06A2">
              <w:t>technical information</w:t>
            </w:r>
          </w:p>
          <w:p w:rsidR="00000000" w:rsidRPr="003C06A2" w:rsidP="003C06A2">
            <w:pPr>
              <w:pStyle w:val="ListBullet"/>
            </w:pPr>
            <w:r w:rsidRPr="003C06A2">
              <w:t>measuring and cutting procedures</w:t>
            </w:r>
          </w:p>
          <w:p w:rsidR="00000000" w:rsidRPr="003C06A2" w:rsidP="003C06A2">
            <w:pPr>
              <w:pStyle w:val="ListBullet"/>
            </w:pPr>
            <w:r w:rsidRPr="003C06A2">
              <w:t>template production procedures and mat</w:t>
            </w:r>
            <w:r w:rsidRPr="003C06A2">
              <w:t>erial</w:t>
            </w:r>
          </w:p>
          <w:p w:rsidR="00000000" w:rsidRPr="003C06A2" w:rsidP="003C06A2">
            <w:pPr>
              <w:pStyle w:val="ListBullet"/>
            </w:pPr>
            <w:r w:rsidRPr="003C06A2">
              <w:t>surface preparation procedures</w:t>
            </w:r>
          </w:p>
          <w:p w:rsidR="00000000" w:rsidRPr="003C06A2" w:rsidP="003C06A2">
            <w:pPr>
              <w:pStyle w:val="ListBullet"/>
            </w:pPr>
            <w:r w:rsidRPr="003C06A2">
              <w:t>tinting material storage procedures</w:t>
            </w:r>
          </w:p>
          <w:p w:rsidR="00000000" w:rsidRPr="003C06A2" w:rsidP="003C06A2">
            <w:pPr>
              <w:pStyle w:val="ListBullet"/>
            </w:pPr>
            <w:r w:rsidRPr="003C06A2">
              <w:t>manufacturer/component supplier application methods for tinting materials</w:t>
            </w:r>
          </w:p>
          <w:p w:rsidR="00000000" w:rsidRPr="003C06A2" w:rsidP="003C06A2">
            <w:pPr>
              <w:pStyle w:val="ListBullet"/>
            </w:pPr>
            <w:r w:rsidRPr="003C06A2">
              <w:t>work organisation and planning processes</w:t>
            </w:r>
          </w:p>
          <w:p w:rsidR="00000000" w:rsidRPr="003C06A2" w:rsidP="003C06A2">
            <w:pPr>
              <w:pStyle w:val="ListBullet"/>
            </w:pPr>
            <w:r w:rsidRPr="003C06A2">
              <w:t>enterprise quality processes</w:t>
            </w:r>
          </w:p>
        </w:tc>
      </w:tr>
    </w:tbl>
    <w:p w:rsidR="00B46F9F" w:rsidP="003C06A2">
      <w:pPr>
        <w:pStyle w:val="BodyText"/>
      </w:pPr>
    </w:p>
    <w:p w:rsidR="00B46F9F" w:rsidP="003C06A2">
      <w:pPr>
        <w:pStyle w:val="BodyText"/>
      </w:pPr>
    </w:p>
    <w:p w:rsidR="00000000" w:rsidRPr="003C06A2" w:rsidP="003C06A2">
      <w:pPr>
        <w:pStyle w:val="AllowPageBreak"/>
      </w:pPr>
    </w:p>
    <w:p w:rsidR="00000000" w:rsidRPr="003C06A2" w:rsidP="003C06A2">
      <w:pPr>
        <w:pStyle w:val="Heading1"/>
      </w:pPr>
      <w:bookmarkStart w:id="10" w:name="O_241446"/>
      <w:bookmarkEnd w:id="10"/>
      <w:r w:rsidRPr="003C06A2">
        <w:t>Evidence Guide</w:t>
      </w:r>
    </w:p>
    <w:tbl>
      <w:tblPr>
        <w:tblW w:w="9570" w:type="dxa"/>
        <w:tblLayout w:type="fixed"/>
        <w:tblCellMar>
          <w:left w:w="62" w:type="dxa"/>
          <w:right w:w="62" w:type="dxa"/>
        </w:tblCellMar>
        <w:tblLook w:val="0000"/>
      </w:tblPr>
      <w:tblGrid>
        <w:gridCol w:w="3481"/>
        <w:gridCol w:w="6089"/>
      </w:tblGrid>
      <w:tr w:rsidTr="00B46F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EVIDENCE GUIDE</w:t>
            </w:r>
          </w:p>
        </w:tc>
      </w:tr>
      <w:tr w:rsidTr="00B46F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t>The evidence guide provides advice on assessment and must be read in conjunction with the performance criteria, required skills and knowledge, range statement and the Assessment Guidelines for the Training Package.</w:t>
            </w:r>
          </w:p>
        </w:tc>
      </w:tr>
      <w:tr w:rsidTr="00B46F9F">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Overvie</w:t>
            </w:r>
            <w:r w:rsidRPr="003C06A2">
              <w:rPr>
                <w:rStyle w:val="SpecialBold"/>
              </w:rPr>
              <w:t>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p>
        </w:tc>
      </w:tr>
      <w:tr w:rsidTr="00B46F9F">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It is essential that competence is fully observed and there is ability to transfer competence to changing circumstances and to respond to unusual situations in the critical aspects of:</w:t>
            </w:r>
          </w:p>
          <w:p w:rsidR="00000000" w:rsidRPr="003C06A2" w:rsidP="003C06A2">
            <w:pPr>
              <w:pStyle w:val="ListBullet"/>
            </w:pPr>
            <w:r w:rsidRPr="003C06A2">
              <w:t>observing safety procedures and requirements</w:t>
            </w:r>
          </w:p>
          <w:p w:rsidR="00000000" w:rsidRPr="003C06A2" w:rsidP="003C06A2">
            <w:pPr>
              <w:pStyle w:val="ListBullet"/>
            </w:pPr>
            <w:r w:rsidRPr="003C06A2">
              <w:t>communicating effectively</w:t>
            </w:r>
            <w:r w:rsidRPr="003C06A2">
              <w:t xml:space="preserve"> with others involved in or affected by the work</w:t>
            </w:r>
          </w:p>
          <w:p w:rsidR="00000000" w:rsidRPr="003C06A2" w:rsidP="003C06A2">
            <w:pPr>
              <w:pStyle w:val="ListBullet"/>
            </w:pPr>
            <w:r w:rsidRPr="003C06A2">
              <w:t xml:space="preserve">selecting methods and techniques appropriate to the circumstances </w:t>
            </w:r>
          </w:p>
          <w:p w:rsidR="00000000" w:rsidRPr="003C06A2" w:rsidP="003C06A2">
            <w:pPr>
              <w:pStyle w:val="ListBullet"/>
            </w:pPr>
            <w:r w:rsidRPr="003C06A2">
              <w:t>completing preparatory activity in a systematic manner</w:t>
            </w:r>
          </w:p>
          <w:p w:rsidR="00000000" w:rsidRPr="003C06A2" w:rsidP="003C06A2">
            <w:pPr>
              <w:pStyle w:val="ListBullet"/>
            </w:pPr>
            <w:r w:rsidRPr="003C06A2">
              <w:t>cleaning of surfaces before and after applying tinting</w:t>
            </w:r>
          </w:p>
          <w:p w:rsidR="00000000" w:rsidRPr="003C06A2" w:rsidP="003C06A2">
            <w:pPr>
              <w:pStyle w:val="ListBullet"/>
            </w:pPr>
            <w:r w:rsidRPr="003C06A2">
              <w:t>measuring and cutting tint tem</w:t>
            </w:r>
            <w:r w:rsidRPr="003C06A2">
              <w:t>plates and materials</w:t>
            </w:r>
          </w:p>
          <w:p w:rsidR="00000000" w:rsidP="003C06A2">
            <w:pPr>
              <w:pStyle w:val="ListBullet"/>
              <w:rPr>
                <w:lang w:val="en-NZ"/>
              </w:rPr>
            </w:pPr>
            <w:r w:rsidRPr="003C06A2">
              <w:t>applying tint film to a range of windows/surfaces in accordance with workplace and manufacturer/component supplier requirements.</w:t>
            </w:r>
          </w:p>
        </w:tc>
      </w:tr>
      <w:tr w:rsidTr="00B46F9F">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Context of</w:t>
            </w:r>
            <w:r w:rsidRPr="003C06A2">
              <w:t xml:space="preserve">, </w:t>
            </w:r>
            <w:r w:rsidRPr="003C06A2">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ListBullet"/>
            </w:pPr>
            <w:r w:rsidRPr="003C06A2">
              <w:t>Application of competence is to be assessed in the wor</w:t>
            </w:r>
            <w:r w:rsidRPr="003C06A2">
              <w:t>kplace or simulated worksite.</w:t>
            </w:r>
          </w:p>
          <w:p w:rsidR="00000000" w:rsidRPr="003C06A2" w:rsidP="003C06A2">
            <w:pPr>
              <w:pStyle w:val="ListBullet"/>
            </w:pPr>
            <w:r w:rsidRPr="003C06A2">
              <w:t>Assessment is to occur using standard and authorised work practices, safety requirements and environmental constraints.</w:t>
            </w:r>
          </w:p>
          <w:p w:rsidR="00000000" w:rsidRPr="003C06A2" w:rsidP="003C06A2">
            <w:pPr>
              <w:pStyle w:val="ListBullet"/>
            </w:pPr>
            <w:r w:rsidRPr="003C06A2">
              <w:t>Assessment is to comply with regulatory requirements, including Australian Standards.</w:t>
            </w:r>
          </w:p>
          <w:p w:rsidR="00000000" w:rsidRPr="003C06A2" w:rsidP="003C06A2">
            <w:pPr>
              <w:pStyle w:val="ListBullet"/>
            </w:pPr>
            <w:r w:rsidRPr="003C06A2">
              <w:t>The following resour</w:t>
            </w:r>
            <w:r w:rsidRPr="003C06A2">
              <w:t>ces should be made available:</w:t>
            </w:r>
          </w:p>
          <w:p w:rsidR="00000000" w:rsidRPr="003C06A2" w:rsidP="003C06A2">
            <w:pPr>
              <w:pStyle w:val="ListBullet2"/>
            </w:pPr>
            <w:r w:rsidRPr="003C06A2">
              <w:t>workplace location or simulated workplace</w:t>
            </w:r>
          </w:p>
          <w:p w:rsidR="00000000" w:rsidRPr="003C06A2" w:rsidP="003C06A2">
            <w:pPr>
              <w:pStyle w:val="ListBullet2"/>
            </w:pPr>
            <w:r w:rsidRPr="003C06A2">
              <w:t>materials relevant to the preparation of surfaces and the application of window tinting</w:t>
            </w:r>
          </w:p>
          <w:p w:rsidR="00000000" w:rsidRPr="003C06A2" w:rsidP="003C06A2">
            <w:pPr>
              <w:pStyle w:val="ListBullet2"/>
            </w:pPr>
            <w:r w:rsidRPr="003C06A2">
              <w:t>equipment, hand and power tooling appropriate to the preparation of surfaces and the application of window tinting</w:t>
            </w:r>
          </w:p>
          <w:p w:rsidR="00000000" w:rsidRPr="003C06A2" w:rsidP="003C06A2">
            <w:pPr>
              <w:pStyle w:val="ListBullet2"/>
            </w:pPr>
            <w:r w:rsidRPr="003C06A2">
              <w:t>activities covering mandatory task requirements</w:t>
            </w:r>
          </w:p>
          <w:p w:rsidR="00000000" w:rsidP="003C06A2">
            <w:pPr>
              <w:pStyle w:val="ListBullet2"/>
              <w:rPr>
                <w:lang w:val="en-NZ"/>
              </w:rPr>
            </w:pPr>
            <w:r w:rsidRPr="003C06A2">
              <w:t>specifications and work instructions.</w:t>
            </w:r>
          </w:p>
        </w:tc>
      </w:tr>
      <w:tr w:rsidTr="00B46F9F">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ListBullet"/>
            </w:pPr>
            <w:r w:rsidRPr="003C06A2">
              <w:t>Assessment must satisfy the endorsed Assessment Guidelines of AUR05 Automotive Industry Retail, Service and Repair Training Package.</w:t>
            </w:r>
          </w:p>
          <w:p w:rsidR="00000000" w:rsidRPr="003C06A2" w:rsidP="003C06A2">
            <w:pPr>
              <w:pStyle w:val="ListBullet"/>
            </w:pPr>
            <w:r w:rsidRPr="003C06A2">
              <w:t>Assessment methods must confirm consistency and accuracy of performance together with application of underpinning knowledge</w:t>
            </w:r>
            <w:r w:rsidRPr="003C06A2">
              <w:t>.</w:t>
            </w:r>
          </w:p>
          <w:p w:rsidR="00000000" w:rsidRPr="003C06A2" w:rsidP="003C06A2">
            <w:pPr>
              <w:pStyle w:val="ListBullet"/>
            </w:pPr>
            <w:r w:rsidRPr="003C06A2">
              <w:t>Assessment must be by direct observation of tasks, with questioning on underpinning knowledge and it must also reinforce the integration of key competencies.</w:t>
            </w:r>
          </w:p>
          <w:p w:rsidR="00000000" w:rsidRPr="003C06A2" w:rsidP="003C06A2">
            <w:pPr>
              <w:pStyle w:val="ListBullet"/>
            </w:pPr>
            <w:r w:rsidRPr="003C06A2">
              <w:t>Assessment may be applied under project-related conditions and require evidence of process.</w:t>
            </w:r>
          </w:p>
          <w:p w:rsidR="00000000" w:rsidRPr="003C06A2" w:rsidP="003C06A2">
            <w:pPr>
              <w:pStyle w:val="ListBullet"/>
            </w:pPr>
            <w:r w:rsidRPr="003C06A2">
              <w:t>Asse</w:t>
            </w:r>
            <w:r w:rsidRPr="003C06A2">
              <w:t>ssment must confirm a reasonable inference that competence is able not only to be satisfied under the particular circumstance, but is able to be transferred to other circumstances.</w:t>
            </w:r>
          </w:p>
          <w:p w:rsidR="00000000" w:rsidRPr="003C06A2" w:rsidP="003C06A2">
            <w:pPr>
              <w:pStyle w:val="ListBullet"/>
            </w:pPr>
            <w:r w:rsidRPr="003C06A2">
              <w:t>It is preferable that assessment reflects a process rather than an event an</w:t>
            </w:r>
            <w:r w:rsidRPr="003C06A2">
              <w:t>d occurs over a period of time to cover varying quality circumstances. Evidence of performance may be provided by customers, team leaders/members or other persons subject to agreed authentication arrangements.</w:t>
            </w:r>
          </w:p>
          <w:p w:rsidR="00000000" w:rsidP="003C06A2">
            <w:pPr>
              <w:pStyle w:val="ListBullet"/>
              <w:rPr>
                <w:lang w:val="en-NZ"/>
              </w:rPr>
            </w:pPr>
            <w:r w:rsidRPr="003C06A2">
              <w:t>Competence in this unit may be assessed in con</w:t>
            </w:r>
            <w:r w:rsidRPr="003C06A2">
              <w:t>junction with other functional units which together form part of the holistic work role.</w:t>
            </w:r>
          </w:p>
        </w:tc>
      </w:tr>
      <w:tr w:rsidTr="00B46F9F">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p>
        </w:tc>
      </w:tr>
    </w:tbl>
    <w:p w:rsidR="00B46F9F" w:rsidP="003C06A2">
      <w:pPr>
        <w:pStyle w:val="BodyText"/>
      </w:pPr>
    </w:p>
    <w:p w:rsidR="00B46F9F" w:rsidP="003C06A2">
      <w:pPr>
        <w:pStyle w:val="BodyText"/>
      </w:pPr>
    </w:p>
    <w:p w:rsidR="00000000" w:rsidRPr="003C06A2" w:rsidP="003C06A2">
      <w:pPr>
        <w:pStyle w:val="Heading1"/>
      </w:pPr>
      <w:bookmarkStart w:id="11" w:name="O_249429"/>
      <w:bookmarkEnd w:id="11"/>
      <w:r w:rsidRPr="003C06A2">
        <w:t>Range Statement</w:t>
      </w:r>
    </w:p>
    <w:tbl>
      <w:tblPr>
        <w:tblW w:w="0" w:type="auto"/>
        <w:tblLayout w:type="fixed"/>
        <w:tblCellMar>
          <w:left w:w="62" w:type="dxa"/>
          <w:right w:w="62" w:type="dxa"/>
        </w:tblCellMar>
        <w:tblLook w:val="0000"/>
      </w:tblPr>
      <w:tblGrid>
        <w:gridCol w:w="3549"/>
        <w:gridCol w:w="4973"/>
      </w:tblGrid>
      <w:tr w:rsidTr="00B46F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RANGE STATEMENT</w:t>
            </w:r>
          </w:p>
        </w:tc>
      </w:tr>
      <w:tr w:rsidTr="00B46F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3C06A2">
              <w:t>conditions that may be present with training and assessment (depending on the work situation, needs of the candidate, accessibility of the item, and local industry and regional contexts) may also be included.</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Methods are to include:</w:t>
            </w:r>
          </w:p>
          <w:p w:rsidR="00000000" w:rsidRPr="003C06A2" w:rsidP="003C06A2">
            <w:pPr>
              <w:pStyle w:val="ListBullet"/>
            </w:pPr>
            <w:r w:rsidRPr="003C06A2">
              <w:t>selection of</w:t>
            </w:r>
            <w:r w:rsidRPr="003C06A2">
              <w:t xml:space="preserve"> window tinting film</w:t>
            </w:r>
          </w:p>
          <w:p w:rsidR="00000000" w:rsidRPr="003C06A2" w:rsidP="003C06A2">
            <w:pPr>
              <w:pStyle w:val="ListBullet"/>
            </w:pPr>
            <w:r w:rsidRPr="003C06A2">
              <w:t>measurement and template production</w:t>
            </w:r>
          </w:p>
          <w:p w:rsidR="00000000" w:rsidRPr="003C06A2" w:rsidP="003C06A2">
            <w:pPr>
              <w:pStyle w:val="ListBullet"/>
            </w:pPr>
            <w:r w:rsidRPr="003C06A2">
              <w:t>cutting of the tint film</w:t>
            </w:r>
          </w:p>
          <w:p w:rsidR="00000000" w:rsidP="003C06A2">
            <w:pPr>
              <w:pStyle w:val="ListBullet"/>
              <w:rPr>
                <w:lang w:val="en-NZ"/>
              </w:rPr>
            </w:pPr>
            <w:r w:rsidRPr="003C06A2">
              <w:t>application of the tint film</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OHS requirements</w:t>
            </w:r>
            <w:r w:rsidRPr="003C06A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OHS requi</w:t>
            </w:r>
            <w:r w:rsidRPr="003C06A2">
              <w:t>rements are to be in accordance with legislation/regulations/codes of practice and enterprise safety policies and procedures. This may include:</w:t>
            </w:r>
          </w:p>
          <w:p w:rsidR="00000000" w:rsidP="003C06A2">
            <w:pPr>
              <w:pStyle w:val="ListBullet"/>
              <w:rPr>
                <w:lang w:val="en-NZ"/>
              </w:rPr>
            </w:pPr>
            <w:r w:rsidRPr="003C06A2">
              <w:t xml:space="preserve">protective clothing and equipment, use of tooling and equipment, workplace environment and safety, handling of </w:t>
            </w:r>
            <w:r w:rsidRPr="003C06A2">
              <w:t>material, use of fire fighting equipment, enterprise first aid, hazard control and hazardous material and substances</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t>Personal protective equipment is to include that prescribed under legislation/regulation/codes of practice a</w:t>
            </w:r>
            <w:r w:rsidRPr="003C06A2">
              <w:t>nd workplace policies and practices</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Safe operating procedures are to include, but are not limited to:</w:t>
            </w:r>
          </w:p>
          <w:p w:rsidR="00000000" w:rsidP="003C06A2">
            <w:pPr>
              <w:pStyle w:val="ListBullet"/>
              <w:rPr>
                <w:lang w:val="en-NZ"/>
              </w:rPr>
            </w:pPr>
            <w:r w:rsidRPr="003C06A2">
              <w:t xml:space="preserve">operational risk assessment and treatments associated with vehicular movement, toxic substances, electrical safety, machinery </w:t>
            </w:r>
            <w:r w:rsidRPr="003C06A2">
              <w:t>movement and operation, manual and mechanical lifting and shifting, working in proximity to others and worksite visitors</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Emergency procedures related to this unit are to include, but are not limited to:</w:t>
            </w:r>
          </w:p>
          <w:p w:rsidR="00000000" w:rsidP="003C06A2">
            <w:pPr>
              <w:pStyle w:val="ListBullet"/>
              <w:rPr>
                <w:lang w:val="en-NZ"/>
              </w:rPr>
            </w:pPr>
            <w:r w:rsidRPr="003C06A2">
              <w:t>emergency shutdown and stopping of equipment, extinguishing fires, enterprise first aid requirements and worksite evacuation</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Environmental requirements are to include, but are not limited to:</w:t>
            </w:r>
          </w:p>
          <w:p w:rsidR="00000000" w:rsidP="003C06A2">
            <w:pPr>
              <w:pStyle w:val="ListBullet"/>
              <w:rPr>
                <w:lang w:val="en-NZ"/>
              </w:rPr>
            </w:pPr>
            <w:r w:rsidRPr="003C06A2">
              <w:t>waste management, noise, dust and c</w:t>
            </w:r>
            <w:r w:rsidRPr="003C06A2">
              <w:t>lean-up management</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Quality requirements are to include, but are not limited to:</w:t>
            </w:r>
          </w:p>
          <w:p w:rsidR="00000000" w:rsidP="003C06A2">
            <w:pPr>
              <w:pStyle w:val="ListBullet"/>
              <w:rPr>
                <w:lang w:val="en-NZ"/>
              </w:rPr>
            </w:pPr>
            <w:r w:rsidRPr="003C06A2">
              <w:t>regulations, including Australian standards, internal company quality policy and standards and enterprise operations and procedures</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Statutory</w:t>
            </w:r>
            <w:r w:rsidRPr="003C06A2">
              <w:t>/</w:t>
            </w:r>
            <w:r w:rsidRPr="003C06A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Statutory/regulatory authorities may include:</w:t>
            </w:r>
          </w:p>
          <w:p w:rsidR="00000000" w:rsidP="003C06A2">
            <w:pPr>
              <w:pStyle w:val="ListBullet"/>
              <w:rPr>
                <w:lang w:val="en-NZ"/>
              </w:rPr>
            </w:pPr>
            <w:r w:rsidRPr="003C06A2">
              <w:t>federal, state/territory and local authorities administering acts, regulations and codes of practice</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Tooling and equipment may include:</w:t>
            </w:r>
          </w:p>
          <w:p w:rsidR="00000000" w:rsidP="003C06A2">
            <w:pPr>
              <w:pStyle w:val="ListBullet"/>
              <w:rPr>
                <w:lang w:val="en-NZ"/>
              </w:rPr>
            </w:pPr>
            <w:r w:rsidRPr="003C06A2">
              <w:t>cutting and application tooling required in preparation and application of window tinting</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Materials may include:</w:t>
            </w:r>
          </w:p>
          <w:p w:rsidR="00000000" w:rsidP="003C06A2">
            <w:pPr>
              <w:pStyle w:val="ListBullet"/>
              <w:rPr>
                <w:lang w:val="en-NZ"/>
              </w:rPr>
            </w:pPr>
            <w:r w:rsidRPr="003C06A2">
              <w:t>tinting and cleaning materials</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Communications are to include, but are not limited to:</w:t>
            </w:r>
          </w:p>
          <w:p w:rsidR="00000000" w:rsidP="003C06A2">
            <w:pPr>
              <w:pStyle w:val="ListBullet"/>
              <w:rPr>
                <w:lang w:val="en-NZ"/>
              </w:rPr>
            </w:pPr>
            <w:r w:rsidRPr="003C06A2">
              <w:t>verbal and visual instructio</w:t>
            </w:r>
            <w:r w:rsidRPr="003C06A2">
              <w:t>ns and fault reporting and may include worksite specific instructions, written instructions, plans or instructions related to job/task, telephones and pagers</w:t>
            </w:r>
          </w:p>
        </w:tc>
      </w:tr>
      <w:tr w:rsidTr="00B46F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Information</w:t>
            </w:r>
            <w:r w:rsidRPr="003C06A2">
              <w:t>/</w:t>
            </w:r>
            <w:r w:rsidRPr="003C06A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Sources of information/documents may include:</w:t>
            </w:r>
          </w:p>
          <w:p w:rsidR="00000000" w:rsidRPr="003C06A2" w:rsidP="003C06A2">
            <w:pPr>
              <w:pStyle w:val="ListBullet"/>
            </w:pPr>
            <w:r w:rsidRPr="003C06A2">
              <w:t>verbal or written and graphical instructions, signage, work schedules/plans/specifications, work bulletins, memos, material safety data sheets, diagrams or sketches</w:t>
            </w:r>
          </w:p>
          <w:p w:rsidR="00000000" w:rsidRPr="003C06A2" w:rsidP="003C06A2">
            <w:pPr>
              <w:pStyle w:val="ListBullet"/>
            </w:pPr>
            <w:r w:rsidRPr="003C06A2">
              <w:t>safe work procedures related to the preparation of surfaces and the application of window t</w:t>
            </w:r>
            <w:r w:rsidRPr="003C06A2">
              <w:t>inting</w:t>
            </w:r>
          </w:p>
          <w:p w:rsidR="00000000" w:rsidRPr="003C06A2" w:rsidP="003C06A2">
            <w:pPr>
              <w:pStyle w:val="ListBullet"/>
            </w:pPr>
            <w:r w:rsidRPr="003C06A2">
              <w:t>regulatory/legislative requirements pertaining to automotive industry, including Australian Design Rules</w:t>
            </w:r>
          </w:p>
          <w:p w:rsidR="00000000" w:rsidRPr="003C06A2" w:rsidP="003C06A2">
            <w:pPr>
              <w:pStyle w:val="ListBullet"/>
            </w:pPr>
            <w:r w:rsidRPr="003C06A2">
              <w:t>engineer's design specifications and instructions</w:t>
            </w:r>
          </w:p>
          <w:p w:rsidR="00000000" w:rsidRPr="003C06A2" w:rsidP="003C06A2">
            <w:pPr>
              <w:pStyle w:val="ListBullet"/>
            </w:pPr>
            <w:r w:rsidRPr="003C06A2">
              <w:t>organisation work specifications and requirements</w:t>
            </w:r>
          </w:p>
          <w:p w:rsidR="00000000" w:rsidRPr="003C06A2" w:rsidP="003C06A2">
            <w:pPr>
              <w:pStyle w:val="ListBullet"/>
            </w:pPr>
            <w:r w:rsidRPr="003C06A2">
              <w:t>instructions issued by authorised enterprise</w:t>
            </w:r>
            <w:r w:rsidRPr="003C06A2">
              <w:t xml:space="preserve"> or external persons</w:t>
            </w:r>
          </w:p>
          <w:p w:rsidR="00000000" w:rsidRPr="003C06A2" w:rsidP="003C06A2">
            <w:pPr>
              <w:pStyle w:val="ListBullet"/>
            </w:pPr>
            <w:r w:rsidRPr="003C06A2">
              <w:t>Australian standards</w:t>
            </w:r>
          </w:p>
        </w:tc>
      </w:tr>
    </w:tbl>
    <w:p w:rsidR="00B46F9F" w:rsidP="003C06A2">
      <w:pPr>
        <w:pStyle w:val="BodyText"/>
      </w:pPr>
    </w:p>
    <w:p w:rsidR="00B46F9F" w:rsidP="003C06A2">
      <w:pPr>
        <w:pStyle w:val="BodyText"/>
      </w:pPr>
    </w:p>
    <w:p w:rsidR="00000000" w:rsidRPr="003C06A2" w:rsidP="003C06A2">
      <w:pPr>
        <w:pStyle w:val="Heading1"/>
      </w:pPr>
      <w:bookmarkStart w:id="12" w:name="O_194392"/>
      <w:bookmarkEnd w:id="12"/>
      <w:r w:rsidRPr="003C06A2">
        <w:t>Unit Sector(s)</w:t>
      </w:r>
    </w:p>
    <w:tbl>
      <w:tblPr>
        <w:tblW w:w="0" w:type="auto"/>
        <w:tblLayout w:type="fixed"/>
        <w:tblCellMar>
          <w:left w:w="62" w:type="dxa"/>
          <w:right w:w="62" w:type="dxa"/>
        </w:tblCellMar>
        <w:tblLook w:val="0000"/>
      </w:tblPr>
      <w:tblGrid>
        <w:gridCol w:w="2619"/>
        <w:gridCol w:w="5903"/>
      </w:tblGrid>
      <w:tr w:rsidTr="00B46F9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r w:rsidRPr="003C06A2">
              <w:t>Vehicle body</w:t>
            </w:r>
          </w:p>
        </w:tc>
      </w:tr>
    </w:tbl>
    <w:p w:rsidR="00B46F9F" w:rsidP="003C06A2">
      <w:pPr>
        <w:pStyle w:val="BodyText"/>
      </w:pPr>
    </w:p>
    <w:p w:rsidR="00B46F9F" w:rsidP="003C06A2">
      <w:pPr>
        <w:pStyle w:val="BodyText"/>
      </w:pPr>
    </w:p>
    <w:p w:rsidR="00000000" w:rsidRPr="003C06A2" w:rsidP="003C06A2">
      <w:pPr>
        <w:pStyle w:val="Heading1"/>
      </w:pPr>
      <w:bookmarkStart w:id="13" w:name="O_194389"/>
      <w:bookmarkEnd w:id="13"/>
      <w:r w:rsidRPr="003C06A2">
        <w:t>Co-requisite units</w:t>
      </w:r>
    </w:p>
    <w:tbl>
      <w:tblPr>
        <w:tblW w:w="0" w:type="auto"/>
        <w:tblLayout w:type="fixed"/>
        <w:tblCellMar>
          <w:left w:w="62" w:type="dxa"/>
          <w:right w:w="62" w:type="dxa"/>
        </w:tblCellMar>
        <w:tblLook w:val="0000"/>
      </w:tblPr>
      <w:tblGrid>
        <w:gridCol w:w="2641"/>
        <w:gridCol w:w="1322"/>
        <w:gridCol w:w="4559"/>
      </w:tblGrid>
      <w:tr w:rsidTr="00B46F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p>
        </w:tc>
      </w:tr>
      <w:tr w:rsidTr="00B46F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p>
        </w:tc>
      </w:tr>
      <w:tr w:rsidTr="00B46F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p>
        </w:tc>
      </w:tr>
    </w:tbl>
    <w:p w:rsidR="00B46F9F" w:rsidP="003C06A2">
      <w:pPr>
        <w:pStyle w:val="BodyText"/>
      </w:pPr>
    </w:p>
    <w:p w:rsidR="00B46F9F" w:rsidP="003C06A2">
      <w:pPr>
        <w:pStyle w:val="BodyText"/>
      </w:pPr>
    </w:p>
    <w:p w:rsidR="00000000" w:rsidRPr="003C06A2" w:rsidP="003C06A2">
      <w:pPr>
        <w:pStyle w:val="Heading1"/>
      </w:pPr>
      <w:bookmarkStart w:id="14" w:name="O_194391"/>
      <w:bookmarkEnd w:id="14"/>
      <w:r w:rsidRPr="003C06A2">
        <w:t>Competency field</w:t>
      </w:r>
    </w:p>
    <w:tbl>
      <w:tblPr>
        <w:tblW w:w="0" w:type="auto"/>
        <w:tblLayout w:type="fixed"/>
        <w:tblCellMar>
          <w:left w:w="62" w:type="dxa"/>
          <w:right w:w="62" w:type="dxa"/>
        </w:tblCellMar>
        <w:tblLook w:val="0000"/>
      </w:tblPr>
      <w:tblGrid>
        <w:gridCol w:w="2784"/>
        <w:gridCol w:w="5738"/>
      </w:tblGrid>
      <w:tr w:rsidTr="00B46F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A2">
            <w:pPr>
              <w:pStyle w:val="BodyText"/>
              <w:rPr>
                <w:lang w:val="en-NZ"/>
              </w:rPr>
            </w:pPr>
            <w:r w:rsidRPr="003C06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A2" w:rsidP="003C06A2">
            <w:pPr>
              <w:pStyle w:val="BodyText"/>
            </w:pPr>
          </w:p>
        </w:tc>
      </w:tr>
    </w:tbl>
    <w:p w:rsidR="00B46F9F" w:rsidP="003C06A2">
      <w:pPr>
        <w:pStyle w:val="BodyText"/>
      </w:pPr>
    </w:p>
    <w:p w:rsidR="00B46F9F" w:rsidP="003C06A2">
      <w:pPr>
        <w:pStyle w:val="BodyText"/>
      </w:pPr>
    </w:p>
    <w:p w:rsidR="00000000" w:rsidRPr="003C06A2" w:rsidP="003C06A2"/>
    <w:sectPr w:rsidSect="003C06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F9F" w:rsidP="00B46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F9F" w:rsidP="003C06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6F9F" w:rsidP="003C06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46F9F" w:rsidP="003C06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F9F" w:rsidP="00B46F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F9F" w:rsidP="003C06A2">
    <w:pPr>
      <w:pStyle w:val="Header"/>
      <w:framePr w:wrap="around"/>
    </w:pPr>
    <w:r>
      <w:fldChar w:fldCharType="begin"/>
    </w:r>
    <w:r>
      <w:instrText xml:space="preserve"> TITLE   \* MERGEFORMAT </w:instrText>
    </w:r>
    <w:r>
      <w:fldChar w:fldCharType="separate"/>
    </w:r>
    <w:r>
      <w:t>AURV233849A Prepare surfaces and apply window tinting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6F9F" w:rsidP="003C06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C5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CC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05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6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6A2"/>
    <w:pPr>
      <w:spacing w:before="360" w:after="60"/>
      <w:outlineLvl w:val="0"/>
    </w:pPr>
    <w:rPr>
      <w:sz w:val="32"/>
    </w:rPr>
  </w:style>
  <w:style w:type="paragraph" w:styleId="Heading2">
    <w:name w:val="heading 2"/>
    <w:basedOn w:val="HeadingBase"/>
    <w:next w:val="BodyText"/>
    <w:link w:val="Heading2Char"/>
    <w:qFormat/>
    <w:rsid w:val="003C06A2"/>
    <w:pPr>
      <w:keepLines/>
      <w:spacing w:before="240" w:after="120"/>
      <w:outlineLvl w:val="1"/>
    </w:pPr>
    <w:rPr>
      <w:sz w:val="28"/>
      <w:szCs w:val="40"/>
    </w:rPr>
  </w:style>
  <w:style w:type="paragraph" w:styleId="Heading3">
    <w:name w:val="heading 3"/>
    <w:basedOn w:val="HeadingBase"/>
    <w:next w:val="BodyText"/>
    <w:link w:val="Heading3Char"/>
    <w:qFormat/>
    <w:rsid w:val="003C06A2"/>
    <w:pPr>
      <w:spacing w:before="180" w:after="120"/>
      <w:outlineLvl w:val="2"/>
    </w:pPr>
    <w:rPr>
      <w:spacing w:val="-10"/>
      <w:kern w:val="32"/>
    </w:rPr>
  </w:style>
  <w:style w:type="paragraph" w:styleId="Heading4">
    <w:name w:val="heading 4"/>
    <w:basedOn w:val="HeadingBase"/>
    <w:next w:val="BodyText"/>
    <w:link w:val="Heading4Char"/>
    <w:qFormat/>
    <w:rsid w:val="003C06A2"/>
    <w:pPr>
      <w:spacing w:before="160" w:after="120"/>
      <w:outlineLvl w:val="3"/>
    </w:pPr>
    <w:rPr>
      <w:sz w:val="22"/>
    </w:rPr>
  </w:style>
  <w:style w:type="paragraph" w:styleId="Heading5">
    <w:name w:val="heading 5"/>
    <w:basedOn w:val="HeadingBase"/>
    <w:next w:val="Normal"/>
    <w:link w:val="Heading5Char"/>
    <w:qFormat/>
    <w:rsid w:val="003C06A2"/>
    <w:pPr>
      <w:spacing w:before="80"/>
      <w:outlineLvl w:val="4"/>
    </w:pPr>
    <w:rPr>
      <w:color w:val="918585"/>
      <w:sz w:val="20"/>
    </w:rPr>
  </w:style>
  <w:style w:type="paragraph" w:styleId="Heading6">
    <w:name w:val="heading 6"/>
    <w:basedOn w:val="HeadingBase"/>
    <w:next w:val="Normal"/>
    <w:link w:val="Heading6Char"/>
    <w:qFormat/>
    <w:rsid w:val="003C06A2"/>
    <w:pPr>
      <w:spacing w:before="60"/>
      <w:outlineLvl w:val="5"/>
    </w:pPr>
    <w:rPr>
      <w:color w:val="918585"/>
      <w:sz w:val="20"/>
    </w:rPr>
  </w:style>
  <w:style w:type="paragraph" w:styleId="Heading7">
    <w:name w:val="heading 7"/>
    <w:basedOn w:val="Normal"/>
    <w:next w:val="Normal"/>
    <w:link w:val="Heading7Char"/>
    <w:qFormat/>
    <w:rsid w:val="003C06A2"/>
    <w:pPr>
      <w:ind w:left="720"/>
      <w:outlineLvl w:val="6"/>
    </w:pPr>
    <w:rPr>
      <w:i/>
    </w:rPr>
  </w:style>
  <w:style w:type="paragraph" w:styleId="Heading8">
    <w:name w:val="heading 8"/>
    <w:basedOn w:val="Normal"/>
    <w:next w:val="Normal"/>
    <w:link w:val="Heading8Char"/>
    <w:qFormat/>
    <w:rsid w:val="003C06A2"/>
    <w:pPr>
      <w:ind w:left="720"/>
      <w:outlineLvl w:val="7"/>
    </w:pPr>
    <w:rPr>
      <w:i/>
    </w:rPr>
  </w:style>
  <w:style w:type="paragraph" w:styleId="Heading9">
    <w:name w:val="heading 9"/>
    <w:basedOn w:val="Normal"/>
    <w:next w:val="Normal"/>
    <w:link w:val="Heading9Char"/>
    <w:qFormat/>
    <w:rsid w:val="003C06A2"/>
    <w:pPr>
      <w:ind w:left="720"/>
      <w:outlineLvl w:val="8"/>
    </w:pPr>
    <w:rPr>
      <w:i/>
    </w:rPr>
  </w:style>
  <w:style w:type="character" w:default="1" w:styleId="DefaultParagraphFont">
    <w:name w:val="Default Paragraph Font"/>
    <w:uiPriority w:val="1"/>
    <w:unhideWhenUsed/>
    <w:rsid w:val="003C0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6A2"/>
  </w:style>
  <w:style w:type="character" w:customStyle="1" w:styleId="Heading1Char">
    <w:name w:val="Heading 1 Char"/>
    <w:basedOn w:val="DefaultParagraphFont"/>
    <w:link w:val="Heading1"/>
    <w:rsid w:val="003C06A2"/>
    <w:rPr>
      <w:rFonts w:ascii="Times New Roman" w:eastAsia="Times New Roman" w:hAnsi="Times New Roman" w:cs="Times New Roman"/>
      <w:b/>
      <w:sz w:val="32"/>
      <w:szCs w:val="20"/>
      <w:lang w:eastAsia="en-US"/>
    </w:rPr>
  </w:style>
  <w:style w:type="paragraph" w:styleId="BodyText">
    <w:name w:val="Body Text"/>
    <w:basedOn w:val="Normal"/>
    <w:link w:val="BodyTextChar"/>
    <w:rsid w:val="003C06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6A2"/>
    <w:rPr>
      <w:rFonts w:ascii="Times New Roman" w:eastAsia="Times New Roman" w:hAnsi="Times New Roman" w:cs="Times New Roman"/>
      <w:sz w:val="24"/>
      <w:lang w:val="en-US" w:eastAsia="en-US"/>
    </w:rPr>
  </w:style>
  <w:style w:type="paragraph" w:styleId="Footer">
    <w:name w:val="footer"/>
    <w:basedOn w:val="Normal"/>
    <w:link w:val="FooterChar"/>
    <w:rsid w:val="003C0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6A2"/>
    <w:rPr>
      <w:rFonts w:ascii="Times New Roman" w:eastAsia="Times New Roman" w:hAnsi="Times New Roman" w:cs="Times New Roman"/>
      <w:sz w:val="16"/>
      <w:lang w:val="en-US" w:eastAsia="en-US"/>
    </w:rPr>
  </w:style>
  <w:style w:type="paragraph" w:styleId="List">
    <w:name w:val="List"/>
    <w:basedOn w:val="BodyText"/>
    <w:next w:val="BodyText"/>
    <w:rsid w:val="003C06A2"/>
    <w:pPr>
      <w:tabs>
        <w:tab w:val="left" w:pos="340"/>
      </w:tabs>
      <w:spacing w:before="60" w:after="60"/>
      <w:ind w:left="340" w:hanging="340"/>
    </w:pPr>
  </w:style>
  <w:style w:type="paragraph" w:styleId="ListBullet">
    <w:name w:val="List Bullet"/>
    <w:basedOn w:val="List"/>
    <w:rsid w:val="003C06A2"/>
    <w:pPr>
      <w:numPr>
        <w:numId w:val="13"/>
      </w:numPr>
      <w:tabs>
        <w:tab w:val="clear" w:pos="340"/>
      </w:tabs>
      <w:spacing w:before="40" w:after="40"/>
    </w:pPr>
  </w:style>
  <w:style w:type="character" w:customStyle="1" w:styleId="SpecialBold">
    <w:name w:val="Special Bold"/>
    <w:basedOn w:val="DefaultParagraphFont"/>
    <w:rsid w:val="003C06A2"/>
    <w:rPr>
      <w:b/>
      <w:spacing w:val="0"/>
    </w:rPr>
  </w:style>
  <w:style w:type="paragraph" w:styleId="ListBullet2">
    <w:name w:val="List Bullet 2"/>
    <w:basedOn w:val="List2"/>
    <w:rsid w:val="003C06A2"/>
    <w:pPr>
      <w:numPr>
        <w:numId w:val="14"/>
      </w:numPr>
      <w:tabs>
        <w:tab w:val="clear" w:pos="680"/>
      </w:tabs>
    </w:pPr>
  </w:style>
  <w:style w:type="paragraph" w:styleId="Header">
    <w:name w:val="header"/>
    <w:basedOn w:val="Normal"/>
    <w:link w:val="HeaderChar"/>
    <w:rsid w:val="003C0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6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06A2"/>
    <w:pPr>
      <w:spacing w:before="240" w:after="120"/>
      <w:outlineLvl w:val="0"/>
    </w:pPr>
    <w:rPr>
      <w:rFonts w:ascii="Times New Roman" w:hAnsi="Times New Roman"/>
      <w:b/>
      <w:sz w:val="28"/>
    </w:rPr>
  </w:style>
  <w:style w:type="paragraph" w:customStyle="1" w:styleId="AllowPageBreak">
    <w:name w:val="AllowPageBreak"/>
    <w:rsid w:val="003C06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06A2"/>
    <w:pPr>
      <w:tabs>
        <w:tab w:val="left" w:pos="680"/>
      </w:tabs>
      <w:spacing w:before="60" w:after="60"/>
      <w:ind w:left="680" w:hanging="340"/>
    </w:pPr>
  </w:style>
  <w:style w:type="character" w:customStyle="1" w:styleId="Heading2Char">
    <w:name w:val="Heading 2 Char"/>
    <w:basedOn w:val="DefaultParagraphFont"/>
    <w:link w:val="Heading2"/>
    <w:rsid w:val="003C0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6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6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6A2"/>
    <w:rPr>
      <w:rFonts w:ascii="Courier New" w:eastAsia="Times New Roman" w:hAnsi="Courier New" w:cs="Times New Roman"/>
      <w:i/>
      <w:szCs w:val="20"/>
      <w:lang w:val="en-US" w:eastAsia="en-US"/>
    </w:rPr>
  </w:style>
  <w:style w:type="paragraph" w:customStyle="1" w:styleId="HeadingBase">
    <w:name w:val="Heading Base"/>
    <w:rsid w:val="003C0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6A2"/>
    <w:pPr>
      <w:tabs>
        <w:tab w:val="right" w:leader="dot" w:pos="9072"/>
      </w:tabs>
      <w:ind w:left="567"/>
    </w:pPr>
    <w:rPr>
      <w:szCs w:val="22"/>
    </w:rPr>
  </w:style>
  <w:style w:type="paragraph" w:customStyle="1" w:styleId="TOCBase">
    <w:name w:val="TOC Base"/>
    <w:rsid w:val="003C0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6A2"/>
    <w:pPr>
      <w:tabs>
        <w:tab w:val="right" w:leader="dot" w:pos="9072"/>
      </w:tabs>
      <w:spacing w:before="40" w:after="40"/>
      <w:ind w:left="284"/>
    </w:pPr>
    <w:rPr>
      <w:rFonts w:ascii="Times New Roman" w:hAnsi="Times New Roman"/>
    </w:rPr>
  </w:style>
  <w:style w:type="paragraph" w:styleId="TOC1">
    <w:name w:val="toc 1"/>
    <w:basedOn w:val="TOCBase"/>
    <w:next w:val="Normal"/>
    <w:rsid w:val="003C06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6A2"/>
    <w:pPr>
      <w:spacing w:before="5040"/>
      <w:jc w:val="center"/>
    </w:pPr>
    <w:rPr>
      <w:sz w:val="48"/>
      <w:szCs w:val="72"/>
      <w:lang w:val="en-US"/>
    </w:rPr>
  </w:style>
  <w:style w:type="character" w:customStyle="1" w:styleId="TitleChar">
    <w:name w:val="Title Char"/>
    <w:basedOn w:val="DefaultParagraphFont"/>
    <w:link w:val="Title"/>
    <w:rsid w:val="003C0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6A2"/>
    <w:pPr>
      <w:tabs>
        <w:tab w:val="left" w:pos="3600"/>
        <w:tab w:val="left" w:pos="3958"/>
      </w:tabs>
    </w:pPr>
  </w:style>
  <w:style w:type="paragraph" w:customStyle="1" w:styleId="Note">
    <w:name w:val="Note"/>
    <w:basedOn w:val="BodyText"/>
    <w:rsid w:val="003C06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6A2"/>
    <w:pPr>
      <w:framePr w:wrap="auto" w:hAnchor="text" w:y="6049"/>
    </w:pPr>
    <w:rPr>
      <w:color w:val="000000"/>
      <w:sz w:val="40"/>
    </w:rPr>
  </w:style>
  <w:style w:type="paragraph" w:customStyle="1" w:styleId="TOCTitle">
    <w:name w:val="TOCTitle"/>
    <w:basedOn w:val="Heading1"/>
    <w:rsid w:val="003C06A2"/>
    <w:pPr>
      <w:spacing w:after="240"/>
      <w:jc w:val="center"/>
      <w:outlineLvl w:val="9"/>
    </w:pPr>
    <w:rPr>
      <w:caps/>
    </w:rPr>
  </w:style>
  <w:style w:type="paragraph" w:customStyle="1" w:styleId="Version">
    <w:name w:val="Version"/>
    <w:rsid w:val="003C06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6A2"/>
    <w:pPr>
      <w:keepNext w:val="0"/>
      <w:tabs>
        <w:tab w:val="right" w:pos="4176"/>
      </w:tabs>
      <w:ind w:left="198" w:hanging="198"/>
    </w:pPr>
    <w:rPr>
      <w:rFonts w:ascii="Garamond" w:hAnsi="Garamond"/>
    </w:rPr>
  </w:style>
  <w:style w:type="paragraph" w:styleId="IndexHeading">
    <w:name w:val="index heading"/>
    <w:basedOn w:val="Normal"/>
    <w:next w:val="Index1"/>
    <w:semiHidden/>
    <w:rsid w:val="003C06A2"/>
    <w:pPr>
      <w:spacing w:before="120" w:after="120"/>
    </w:pPr>
    <w:rPr>
      <w:rFonts w:ascii="Arial" w:hAnsi="Arial"/>
      <w:b/>
      <w:color w:val="918585"/>
      <w:sz w:val="24"/>
    </w:rPr>
  </w:style>
  <w:style w:type="paragraph" w:customStyle="1" w:styleId="Chapter">
    <w:name w:val="Chapter"/>
    <w:basedOn w:val="Normal"/>
    <w:rsid w:val="003C06A2"/>
    <w:pPr>
      <w:spacing w:before="240"/>
    </w:pPr>
    <w:rPr>
      <w:rFonts w:ascii="Times New Roman" w:hAnsi="Times New Roman"/>
      <w:smallCaps/>
      <w:spacing w:val="80"/>
      <w:sz w:val="28"/>
    </w:rPr>
  </w:style>
  <w:style w:type="paragraph" w:customStyle="1" w:styleId="InChapter">
    <w:name w:val="InChapter"/>
    <w:basedOn w:val="Heading3"/>
    <w:rsid w:val="003C06A2"/>
    <w:pPr>
      <w:spacing w:after="240"/>
      <w:outlineLvl w:val="9"/>
    </w:pPr>
    <w:rPr>
      <w:noProof/>
    </w:rPr>
  </w:style>
  <w:style w:type="paragraph" w:styleId="Index2">
    <w:name w:val="index 2"/>
    <w:basedOn w:val="Normal"/>
    <w:next w:val="Normal"/>
    <w:semiHidden/>
    <w:rsid w:val="003C06A2"/>
    <w:pPr>
      <w:tabs>
        <w:tab w:val="right" w:pos="4176"/>
      </w:tabs>
      <w:ind w:left="568" w:hanging="284"/>
    </w:pPr>
    <w:rPr>
      <w:rFonts w:ascii="Garamond" w:hAnsi="Garamond"/>
    </w:rPr>
  </w:style>
  <w:style w:type="paragraph" w:customStyle="1" w:styleId="Byline">
    <w:name w:val="Byline"/>
    <w:rsid w:val="003C0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6A2"/>
    <w:pPr>
      <w:tabs>
        <w:tab w:val="clear" w:pos="3600"/>
        <w:tab w:val="clear" w:pos="3958"/>
      </w:tabs>
      <w:jc w:val="right"/>
    </w:pPr>
  </w:style>
  <w:style w:type="character" w:styleId="Emphasis">
    <w:name w:val="Emphasis"/>
    <w:basedOn w:val="DefaultParagraphFont"/>
    <w:qFormat/>
    <w:rsid w:val="003C06A2"/>
    <w:rPr>
      <w:i/>
    </w:rPr>
  </w:style>
  <w:style w:type="paragraph" w:styleId="Caption">
    <w:name w:val="caption"/>
    <w:basedOn w:val="BodyText"/>
    <w:next w:val="Normal"/>
    <w:qFormat/>
    <w:rsid w:val="003C06A2"/>
    <w:pPr>
      <w:framePr w:w="2268" w:hSpace="181" w:vSpace="181" w:wrap="around" w:vAnchor="text" w:hAnchor="page" w:x="1135" w:y="285" w:anchorLock="1"/>
    </w:pPr>
    <w:rPr>
      <w:i/>
    </w:rPr>
  </w:style>
  <w:style w:type="paragraph" w:customStyle="1" w:styleId="MiniTOCTitle">
    <w:name w:val="MiniTOCTitle"/>
    <w:basedOn w:val="Heading4"/>
    <w:rsid w:val="003C06A2"/>
    <w:pPr>
      <w:spacing w:before="240"/>
      <w:outlineLvl w:val="9"/>
    </w:pPr>
    <w:rPr>
      <w:noProof/>
      <w:sz w:val="24"/>
    </w:rPr>
  </w:style>
  <w:style w:type="paragraph" w:customStyle="1" w:styleId="MiniTOCItem">
    <w:name w:val="MiniTOCItem"/>
    <w:basedOn w:val="ListBullet"/>
    <w:rsid w:val="003C06A2"/>
    <w:pPr>
      <w:numPr>
        <w:numId w:val="0"/>
      </w:numPr>
      <w:tabs>
        <w:tab w:val="right" w:leader="dot" w:pos="6521"/>
      </w:tabs>
      <w:spacing w:before="0" w:after="0"/>
    </w:pPr>
  </w:style>
  <w:style w:type="paragraph" w:customStyle="1" w:styleId="TOFTitle">
    <w:name w:val="TOFTitle"/>
    <w:basedOn w:val="TOCTitle"/>
    <w:rsid w:val="003C06A2"/>
  </w:style>
  <w:style w:type="paragraph" w:styleId="TableofFigures">
    <w:name w:val="table of figures"/>
    <w:basedOn w:val="Normal"/>
    <w:next w:val="Normal"/>
    <w:semiHidden/>
    <w:rsid w:val="003C06A2"/>
    <w:pPr>
      <w:tabs>
        <w:tab w:val="right" w:leader="dot" w:pos="9072"/>
      </w:tabs>
      <w:ind w:left="970" w:hanging="403"/>
    </w:pPr>
    <w:rPr>
      <w:rFonts w:ascii="Times New Roman" w:hAnsi="Times New Roman"/>
      <w:b/>
    </w:rPr>
  </w:style>
  <w:style w:type="paragraph" w:styleId="ListNumber">
    <w:name w:val="List Number"/>
    <w:basedOn w:val="List"/>
    <w:rsid w:val="003C06A2"/>
    <w:pPr>
      <w:numPr>
        <w:numId w:val="11"/>
      </w:numPr>
    </w:pPr>
  </w:style>
  <w:style w:type="character" w:customStyle="1" w:styleId="WingdingSymbols">
    <w:name w:val="Wingding Symbols"/>
    <w:rsid w:val="003C06A2"/>
    <w:rPr>
      <w:rFonts w:ascii="Wingdings" w:hAnsi="Wingdings"/>
    </w:rPr>
  </w:style>
  <w:style w:type="paragraph" w:customStyle="1" w:styleId="TableHeading">
    <w:name w:val="Table Heading"/>
    <w:basedOn w:val="HeadingBase"/>
    <w:rsid w:val="003C06A2"/>
    <w:pPr>
      <w:keepLines/>
      <w:pBdr>
        <w:bottom w:val="single" w:sz="6" w:space="1" w:color="918585"/>
      </w:pBdr>
      <w:spacing w:before="240"/>
    </w:pPr>
  </w:style>
  <w:style w:type="character" w:customStyle="1" w:styleId="HotSpot">
    <w:name w:val="HotSpot"/>
    <w:rsid w:val="003C06A2"/>
    <w:rPr>
      <w:color w:val="0033CC"/>
      <w:u w:val="none"/>
    </w:rPr>
  </w:style>
  <w:style w:type="paragraph" w:customStyle="1" w:styleId="BodyTextRight">
    <w:name w:val="Body Text Right"/>
    <w:basedOn w:val="BodyText"/>
    <w:rsid w:val="003C06A2"/>
    <w:pPr>
      <w:spacing w:before="0" w:after="0"/>
      <w:jc w:val="right"/>
    </w:pPr>
  </w:style>
  <w:style w:type="paragraph" w:styleId="Index3">
    <w:name w:val="index 3"/>
    <w:basedOn w:val="ListNumber2"/>
    <w:next w:val="Normal"/>
    <w:semiHidden/>
    <w:rsid w:val="003C06A2"/>
    <w:pPr>
      <w:numPr>
        <w:numId w:val="0"/>
      </w:numPr>
      <w:tabs>
        <w:tab w:val="right" w:leader="dot" w:pos="4176"/>
      </w:tabs>
    </w:pPr>
  </w:style>
  <w:style w:type="paragraph" w:styleId="ListNumber2">
    <w:name w:val="List Number 2"/>
    <w:basedOn w:val="List2"/>
    <w:rsid w:val="003C06A2"/>
    <w:pPr>
      <w:numPr>
        <w:numId w:val="10"/>
      </w:numPr>
      <w:tabs>
        <w:tab w:val="clear" w:pos="1060"/>
      </w:tabs>
    </w:pPr>
  </w:style>
  <w:style w:type="paragraph" w:customStyle="1" w:styleId="MarginNote">
    <w:name w:val="Margin Note"/>
    <w:basedOn w:val="BodyText"/>
    <w:rsid w:val="003C0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6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6A2"/>
    <w:rPr>
      <w:sz w:val="32"/>
    </w:rPr>
  </w:style>
  <w:style w:type="paragraph" w:customStyle="1" w:styleId="HeadingProcedure">
    <w:name w:val="Heading Procedure"/>
    <w:basedOn w:val="HeadingBase"/>
    <w:next w:val="Normal"/>
    <w:rsid w:val="003C06A2"/>
    <w:pPr>
      <w:tabs>
        <w:tab w:val="left" w:pos="0"/>
      </w:tabs>
      <w:spacing w:before="120" w:after="60"/>
    </w:pPr>
    <w:rPr>
      <w:i/>
      <w:color w:val="918585"/>
      <w:sz w:val="22"/>
    </w:rPr>
  </w:style>
  <w:style w:type="paragraph" w:customStyle="1" w:styleId="TableBodyText">
    <w:name w:val="Table Body Text"/>
    <w:basedOn w:val="BodyText"/>
    <w:rsid w:val="003C06A2"/>
    <w:pPr>
      <w:spacing w:before="60" w:after="60"/>
    </w:pPr>
  </w:style>
  <w:style w:type="paragraph" w:styleId="ListContinue">
    <w:name w:val="List Continue"/>
    <w:basedOn w:val="List"/>
    <w:rsid w:val="003C06A2"/>
    <w:pPr>
      <w:ind w:firstLine="0"/>
    </w:pPr>
  </w:style>
  <w:style w:type="paragraph" w:customStyle="1" w:styleId="ListNote">
    <w:name w:val="List Note"/>
    <w:basedOn w:val="List"/>
    <w:rsid w:val="003C06A2"/>
    <w:pPr>
      <w:pBdr>
        <w:top w:val="single" w:sz="6" w:space="2" w:color="918585"/>
        <w:bottom w:val="single" w:sz="6" w:space="2" w:color="918585"/>
      </w:pBdr>
      <w:tabs>
        <w:tab w:val="left" w:pos="1021"/>
      </w:tabs>
      <w:ind w:firstLine="0"/>
    </w:pPr>
  </w:style>
  <w:style w:type="paragraph" w:customStyle="1" w:styleId="Warning">
    <w:name w:val="Warning"/>
    <w:basedOn w:val="BodyText"/>
    <w:rsid w:val="003C06A2"/>
    <w:pPr>
      <w:shd w:val="clear" w:color="auto" w:fill="D9D9D9"/>
      <w:tabs>
        <w:tab w:val="left" w:pos="992"/>
      </w:tabs>
      <w:ind w:left="119" w:right="119"/>
    </w:pPr>
    <w:rPr>
      <w:sz w:val="20"/>
    </w:rPr>
  </w:style>
  <w:style w:type="paragraph" w:customStyle="1" w:styleId="MarginIcons">
    <w:name w:val="Margin Icons"/>
    <w:basedOn w:val="BodyText"/>
    <w:rsid w:val="003C0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6A2"/>
    <w:rPr>
      <w:rFonts w:ascii="Courier New" w:hAnsi="Courier New"/>
    </w:rPr>
  </w:style>
  <w:style w:type="paragraph" w:customStyle="1" w:styleId="NoteBullet">
    <w:name w:val="Note Bullet"/>
    <w:basedOn w:val="Note"/>
    <w:rsid w:val="003C06A2"/>
    <w:pPr>
      <w:tabs>
        <w:tab w:val="clear" w:pos="680"/>
      </w:tabs>
      <w:spacing w:before="60" w:after="60"/>
    </w:pPr>
  </w:style>
  <w:style w:type="paragraph" w:customStyle="1" w:styleId="SubHeading2">
    <w:name w:val="SubHeading2"/>
    <w:basedOn w:val="HeadingBase"/>
    <w:rsid w:val="003C06A2"/>
    <w:pPr>
      <w:spacing w:before="240" w:after="60"/>
    </w:pPr>
    <w:rPr>
      <w:sz w:val="20"/>
    </w:rPr>
  </w:style>
  <w:style w:type="paragraph" w:customStyle="1" w:styleId="SubHeading1">
    <w:name w:val="SubHeading1"/>
    <w:basedOn w:val="HeadingBase"/>
    <w:rsid w:val="003C06A2"/>
    <w:pPr>
      <w:spacing w:before="240" w:after="60"/>
    </w:pPr>
    <w:rPr>
      <w:color w:val="918585"/>
      <w:sz w:val="22"/>
    </w:rPr>
  </w:style>
  <w:style w:type="paragraph" w:customStyle="1" w:styleId="SideHeading">
    <w:name w:val="Side Heading"/>
    <w:basedOn w:val="HeadingBase"/>
    <w:rsid w:val="003C0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6A2"/>
    <w:pPr>
      <w:numPr>
        <w:numId w:val="12"/>
      </w:numPr>
    </w:pPr>
  </w:style>
  <w:style w:type="paragraph" w:styleId="PlainText">
    <w:name w:val="Plain Text"/>
    <w:basedOn w:val="Normal"/>
    <w:link w:val="PlainTextChar"/>
    <w:rsid w:val="003C06A2"/>
    <w:rPr>
      <w:sz w:val="20"/>
    </w:rPr>
  </w:style>
  <w:style w:type="character" w:customStyle="1" w:styleId="PlainTextChar">
    <w:name w:val="Plain Text Char"/>
    <w:basedOn w:val="DefaultParagraphFont"/>
    <w:link w:val="PlainText"/>
    <w:rsid w:val="003C06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6A2"/>
    <w:rPr>
      <w:b/>
      <w:smallCaps/>
    </w:rPr>
  </w:style>
  <w:style w:type="paragraph" w:customStyle="1" w:styleId="TableListNumber">
    <w:name w:val="Table List Number"/>
    <w:basedOn w:val="ListNumber"/>
    <w:rsid w:val="003C06A2"/>
    <w:pPr>
      <w:numPr>
        <w:numId w:val="0"/>
      </w:numPr>
    </w:pPr>
  </w:style>
  <w:style w:type="paragraph" w:styleId="TOC4">
    <w:name w:val="toc 4"/>
    <w:basedOn w:val="TOCBase"/>
    <w:next w:val="Normal"/>
    <w:semiHidden/>
    <w:rsid w:val="003C06A2"/>
    <w:pPr>
      <w:tabs>
        <w:tab w:val="right" w:leader="dot" w:pos="9071"/>
      </w:tabs>
      <w:ind w:left="1701"/>
    </w:pPr>
  </w:style>
  <w:style w:type="paragraph" w:customStyle="1" w:styleId="ListAlpha">
    <w:name w:val="List Alpha"/>
    <w:basedOn w:val="List"/>
    <w:rsid w:val="003C06A2"/>
    <w:pPr>
      <w:numPr>
        <w:numId w:val="9"/>
      </w:numPr>
    </w:pPr>
  </w:style>
  <w:style w:type="paragraph" w:customStyle="1" w:styleId="ListAlpha2">
    <w:name w:val="List Alpha 2"/>
    <w:basedOn w:val="List2"/>
    <w:rsid w:val="003C06A2"/>
    <w:pPr>
      <w:numPr>
        <w:numId w:val="8"/>
      </w:numPr>
    </w:pPr>
  </w:style>
  <w:style w:type="paragraph" w:styleId="List3">
    <w:name w:val="List 3"/>
    <w:basedOn w:val="BodyText"/>
    <w:rsid w:val="003C06A2"/>
    <w:pPr>
      <w:tabs>
        <w:tab w:val="left" w:pos="1021"/>
      </w:tabs>
      <w:spacing w:before="60" w:after="60"/>
      <w:ind w:left="1020" w:hanging="340"/>
    </w:pPr>
  </w:style>
  <w:style w:type="paragraph" w:styleId="List4">
    <w:name w:val="List 4"/>
    <w:basedOn w:val="BodyText"/>
    <w:rsid w:val="003C06A2"/>
    <w:pPr>
      <w:tabs>
        <w:tab w:val="left" w:pos="1361"/>
      </w:tabs>
      <w:spacing w:before="60" w:after="60"/>
      <w:ind w:left="1361" w:hanging="340"/>
    </w:pPr>
  </w:style>
  <w:style w:type="paragraph" w:styleId="List5">
    <w:name w:val="List 5"/>
    <w:basedOn w:val="BodyText"/>
    <w:rsid w:val="003C06A2"/>
    <w:pPr>
      <w:tabs>
        <w:tab w:val="left" w:pos="1701"/>
      </w:tabs>
      <w:spacing w:before="60" w:after="60"/>
      <w:ind w:left="1701" w:hanging="340"/>
    </w:pPr>
  </w:style>
  <w:style w:type="paragraph" w:styleId="ListBullet3">
    <w:name w:val="List Bullet 3"/>
    <w:basedOn w:val="List3"/>
    <w:rsid w:val="003C06A2"/>
    <w:pPr>
      <w:numPr>
        <w:numId w:val="15"/>
      </w:numPr>
      <w:tabs>
        <w:tab w:val="clear" w:pos="1021"/>
      </w:tabs>
      <w:ind w:left="1037" w:hanging="357"/>
    </w:pPr>
  </w:style>
  <w:style w:type="paragraph" w:styleId="ListBullet4">
    <w:name w:val="List Bullet 4"/>
    <w:basedOn w:val="List4"/>
    <w:rsid w:val="003C06A2"/>
    <w:pPr>
      <w:numPr>
        <w:numId w:val="3"/>
      </w:numPr>
    </w:pPr>
  </w:style>
  <w:style w:type="paragraph" w:styleId="ListBullet5">
    <w:name w:val="List Bullet 5"/>
    <w:basedOn w:val="List5"/>
    <w:rsid w:val="003C06A2"/>
    <w:pPr>
      <w:numPr>
        <w:numId w:val="4"/>
      </w:numPr>
    </w:pPr>
  </w:style>
  <w:style w:type="paragraph" w:styleId="ListContinue2">
    <w:name w:val="List Continue 2"/>
    <w:basedOn w:val="List2"/>
    <w:rsid w:val="003C06A2"/>
    <w:pPr>
      <w:ind w:firstLine="0"/>
    </w:pPr>
  </w:style>
  <w:style w:type="paragraph" w:styleId="ListContinue3">
    <w:name w:val="List Continue 3"/>
    <w:basedOn w:val="List3"/>
    <w:rsid w:val="003C06A2"/>
    <w:pPr>
      <w:ind w:left="1021" w:firstLine="0"/>
    </w:pPr>
  </w:style>
  <w:style w:type="paragraph" w:styleId="ListContinue4">
    <w:name w:val="List Continue 4"/>
    <w:basedOn w:val="List4"/>
    <w:rsid w:val="003C06A2"/>
    <w:pPr>
      <w:ind w:firstLine="0"/>
    </w:pPr>
  </w:style>
  <w:style w:type="paragraph" w:styleId="ListContinue5">
    <w:name w:val="List Continue 5"/>
    <w:basedOn w:val="List5"/>
    <w:rsid w:val="003C06A2"/>
    <w:pPr>
      <w:ind w:firstLine="0"/>
    </w:pPr>
  </w:style>
  <w:style w:type="paragraph" w:styleId="ListNumber3">
    <w:name w:val="List Number 3"/>
    <w:basedOn w:val="List3"/>
    <w:rsid w:val="003C06A2"/>
    <w:pPr>
      <w:numPr>
        <w:numId w:val="5"/>
      </w:numPr>
    </w:pPr>
  </w:style>
  <w:style w:type="paragraph" w:styleId="ListNumber4">
    <w:name w:val="List Number 4"/>
    <w:basedOn w:val="List4"/>
    <w:rsid w:val="003C06A2"/>
    <w:pPr>
      <w:numPr>
        <w:numId w:val="6"/>
      </w:numPr>
    </w:pPr>
  </w:style>
  <w:style w:type="paragraph" w:styleId="ListNumber5">
    <w:name w:val="List Number 5"/>
    <w:basedOn w:val="List5"/>
    <w:rsid w:val="003C06A2"/>
    <w:pPr>
      <w:numPr>
        <w:numId w:val="7"/>
      </w:numPr>
    </w:pPr>
  </w:style>
  <w:style w:type="paragraph" w:styleId="BlockText">
    <w:name w:val="Block Text"/>
    <w:basedOn w:val="Normal"/>
    <w:rsid w:val="003C06A2"/>
    <w:pPr>
      <w:spacing w:after="120"/>
      <w:ind w:left="1440" w:right="1440"/>
    </w:pPr>
  </w:style>
  <w:style w:type="character" w:customStyle="1" w:styleId="Subscript">
    <w:name w:val="Subscript"/>
    <w:basedOn w:val="DefaultParagraphFont"/>
    <w:rsid w:val="003C06A2"/>
    <w:rPr>
      <w:sz w:val="16"/>
      <w:vertAlign w:val="subscript"/>
    </w:rPr>
  </w:style>
  <w:style w:type="character" w:customStyle="1" w:styleId="Superscript">
    <w:name w:val="Superscript"/>
    <w:basedOn w:val="DefaultParagraphFont"/>
    <w:rsid w:val="003C06A2"/>
    <w:rPr>
      <w:sz w:val="16"/>
      <w:vertAlign w:val="superscript"/>
    </w:rPr>
  </w:style>
  <w:style w:type="character" w:customStyle="1" w:styleId="Symbols">
    <w:name w:val="Symbols"/>
    <w:basedOn w:val="DefaultParagraphFont"/>
    <w:rsid w:val="003C06A2"/>
    <w:rPr>
      <w:rFonts w:ascii="Symbol" w:hAnsi="Symbol"/>
    </w:rPr>
  </w:style>
  <w:style w:type="character" w:customStyle="1" w:styleId="MenuOptions">
    <w:name w:val="Menu Options"/>
    <w:basedOn w:val="DefaultParagraphFont"/>
    <w:rsid w:val="003C06A2"/>
    <w:rPr>
      <w:rFonts w:ascii="Arial Narrow" w:hAnsi="Arial Narrow"/>
      <w:smallCaps/>
    </w:rPr>
  </w:style>
  <w:style w:type="character" w:customStyle="1" w:styleId="Buttons">
    <w:name w:val="Buttons"/>
    <w:basedOn w:val="DefaultParagraphFont"/>
    <w:rsid w:val="003C06A2"/>
    <w:rPr>
      <w:b/>
    </w:rPr>
  </w:style>
  <w:style w:type="character" w:customStyle="1" w:styleId="Underlined">
    <w:name w:val="Underlined"/>
    <w:basedOn w:val="DefaultParagraphFont"/>
    <w:rsid w:val="003C06A2"/>
    <w:rPr>
      <w:u w:val="single"/>
    </w:rPr>
  </w:style>
  <w:style w:type="paragraph" w:customStyle="1" w:styleId="TableBodyTextRight">
    <w:name w:val="Table Body Text Right"/>
    <w:basedOn w:val="TableBodyText"/>
    <w:rsid w:val="003C06A2"/>
    <w:pPr>
      <w:widowControl w:val="0"/>
      <w:autoSpaceDE w:val="0"/>
      <w:autoSpaceDN w:val="0"/>
      <w:adjustRightInd w:val="0"/>
      <w:jc w:val="right"/>
    </w:pPr>
    <w:rPr>
      <w:rFonts w:cs="Arial"/>
      <w:szCs w:val="18"/>
    </w:rPr>
  </w:style>
  <w:style w:type="paragraph" w:customStyle="1" w:styleId="CopyrightText">
    <w:name w:val="Copyright Text"/>
    <w:basedOn w:val="BodyText"/>
    <w:rsid w:val="003C06A2"/>
    <w:rPr>
      <w:sz w:val="18"/>
    </w:rPr>
  </w:style>
  <w:style w:type="paragraph" w:customStyle="1" w:styleId="BodySmallRight">
    <w:name w:val="Body Small Right"/>
    <w:basedOn w:val="BodyTextRight"/>
    <w:rsid w:val="003C06A2"/>
    <w:rPr>
      <w:sz w:val="18"/>
      <w:szCs w:val="18"/>
    </w:rPr>
  </w:style>
  <w:style w:type="paragraph" w:customStyle="1" w:styleId="MarginEdition">
    <w:name w:val="Margin Edition"/>
    <w:basedOn w:val="MarginNote"/>
    <w:rsid w:val="003C06A2"/>
    <w:pPr>
      <w:spacing w:before="0" w:after="0"/>
    </w:pPr>
    <w:rPr>
      <w:rFonts w:ascii="Times New Roman" w:hAnsi="Times New Roman"/>
      <w:color w:val="999999"/>
    </w:rPr>
  </w:style>
  <w:style w:type="paragraph" w:customStyle="1" w:styleId="Spacer">
    <w:name w:val="Spacer"/>
    <w:basedOn w:val="Normal"/>
    <w:rsid w:val="003C06A2"/>
    <w:rPr>
      <w:sz w:val="2"/>
      <w:szCs w:val="2"/>
    </w:rPr>
  </w:style>
  <w:style w:type="character" w:customStyle="1" w:styleId="Small">
    <w:name w:val="Small"/>
    <w:basedOn w:val="DefaultParagraphFont"/>
    <w:rsid w:val="003C06A2"/>
    <w:rPr>
      <w:sz w:val="16"/>
    </w:rPr>
  </w:style>
  <w:style w:type="paragraph" w:customStyle="1" w:styleId="WideTable">
    <w:name w:val="Wide Table"/>
    <w:basedOn w:val="Normal"/>
    <w:rsid w:val="003C06A2"/>
    <w:pPr>
      <w:ind w:left="-1418"/>
    </w:pPr>
    <w:rPr>
      <w:sz w:val="2"/>
      <w:szCs w:val="2"/>
    </w:rPr>
  </w:style>
  <w:style w:type="character" w:styleId="PageNumber">
    <w:name w:val="page number"/>
    <w:basedOn w:val="DefaultParagraphFont"/>
    <w:rsid w:val="003C06A2"/>
  </w:style>
  <w:style w:type="paragraph" w:styleId="Quote">
    <w:name w:val="Quote"/>
    <w:basedOn w:val="Heading1"/>
    <w:link w:val="QuoteChar"/>
    <w:qFormat/>
    <w:rsid w:val="003C06A2"/>
    <w:rPr>
      <w:b w:val="0"/>
      <w:sz w:val="72"/>
      <w:szCs w:val="72"/>
      <w:lang w:val="en-NZ"/>
    </w:rPr>
  </w:style>
  <w:style w:type="character" w:customStyle="1" w:styleId="QuoteChar">
    <w:name w:val="Quote Char"/>
    <w:basedOn w:val="DefaultParagraphFont"/>
    <w:link w:val="Quote"/>
    <w:rsid w:val="003C0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6A2"/>
    <w:pPr>
      <w:pageBreakBefore/>
    </w:pPr>
  </w:style>
  <w:style w:type="paragraph" w:customStyle="1" w:styleId="Border">
    <w:name w:val="Border"/>
    <w:basedOn w:val="Normal"/>
    <w:qFormat/>
    <w:rsid w:val="003C0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6A2"/>
    <w:rPr>
      <w:b/>
      <w:bCs/>
      <w:i/>
      <w:iCs/>
      <w:color w:val="auto"/>
    </w:rPr>
  </w:style>
  <w:style w:type="paragraph" w:styleId="IntenseQuote">
    <w:name w:val="Intense Quote"/>
    <w:basedOn w:val="Normal"/>
    <w:next w:val="Normal"/>
    <w:link w:val="IntenseQuoteChar"/>
    <w:uiPriority w:val="30"/>
    <w:qFormat/>
    <w:rsid w:val="003C0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6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6A2"/>
    <w:rPr>
      <w:smallCaps/>
      <w:color w:val="auto"/>
      <w:u w:val="single"/>
    </w:rPr>
  </w:style>
  <w:style w:type="character" w:styleId="IntenseReference">
    <w:name w:val="Intense Reference"/>
    <w:basedOn w:val="DefaultParagraphFont"/>
    <w:uiPriority w:val="32"/>
    <w:qFormat/>
    <w:rsid w:val="003C06A2"/>
    <w:rPr>
      <w:b/>
      <w:bCs/>
      <w:smallCaps/>
      <w:color w:val="auto"/>
      <w:spacing w:val="5"/>
      <w:u w:val="single"/>
    </w:rPr>
  </w:style>
  <w:style w:type="paragraph" w:customStyle="1" w:styleId="2ColumnHeading">
    <w:name w:val="2Column Heading"/>
    <w:basedOn w:val="BodyText"/>
    <w:qFormat/>
    <w:rsid w:val="003C06A2"/>
    <w:pPr>
      <w:spacing w:after="60"/>
      <w:ind w:left="-2268"/>
    </w:pPr>
    <w:rPr>
      <w:b/>
    </w:rPr>
  </w:style>
  <w:style w:type="paragraph" w:customStyle="1" w:styleId="Heading1TOC">
    <w:name w:val="Heading1 TOC"/>
    <w:basedOn w:val="Normal"/>
    <w:qFormat/>
    <w:rsid w:val="003C06A2"/>
    <w:pPr>
      <w:spacing w:before="240" w:after="120"/>
    </w:pPr>
    <w:rPr>
      <w:rFonts w:ascii="Times New Roman" w:hAnsi="Times New Roman"/>
      <w:b/>
      <w:sz w:val="32"/>
    </w:rPr>
  </w:style>
  <w:style w:type="paragraph" w:customStyle="1" w:styleId="Heading2TOC">
    <w:name w:val="Heading2 TOC"/>
    <w:basedOn w:val="Normal"/>
    <w:qFormat/>
    <w:rsid w:val="003C06A2"/>
    <w:pPr>
      <w:spacing w:before="240" w:after="60"/>
    </w:pPr>
    <w:rPr>
      <w:rFonts w:ascii="Times New Roman" w:hAnsi="Times New Roman"/>
      <w:b/>
      <w:sz w:val="28"/>
    </w:rPr>
  </w:style>
  <w:style w:type="character" w:customStyle="1" w:styleId="Underline">
    <w:name w:val="Underline"/>
    <w:basedOn w:val="DefaultParagraphFont"/>
    <w:qFormat/>
    <w:rsid w:val="003C06A2"/>
    <w:rPr>
      <w:u w:val="single"/>
    </w:rPr>
  </w:style>
  <w:style w:type="character" w:customStyle="1" w:styleId="BoldandItalics">
    <w:name w:val="Bold and Italics"/>
    <w:qFormat/>
    <w:rsid w:val="003C06A2"/>
    <w:rPr>
      <w:b/>
      <w:i/>
      <w:u w:val="none"/>
    </w:rPr>
  </w:style>
  <w:style w:type="paragraph" w:styleId="BalloonText">
    <w:name w:val="Balloon Text"/>
    <w:basedOn w:val="Normal"/>
    <w:link w:val="BalloonTextChar"/>
    <w:rsid w:val="003C06A2"/>
    <w:rPr>
      <w:rFonts w:ascii="Tahoma" w:hAnsi="Tahoma" w:cs="Tahoma"/>
      <w:sz w:val="16"/>
      <w:szCs w:val="16"/>
    </w:rPr>
  </w:style>
  <w:style w:type="character" w:customStyle="1" w:styleId="BalloonTextChar">
    <w:name w:val="Balloon Text Char"/>
    <w:basedOn w:val="DefaultParagraphFont"/>
    <w:link w:val="BalloonText"/>
    <w:rsid w:val="003C06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6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6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1740</Words>
  <Characters>11514</Characters>
  <Application>Microsoft Office Word</Application>
  <DocSecurity>0</DocSecurity>
  <Lines>379</Lines>
  <Paragraphs>170</Paragraphs>
  <ScaleCrop>false</ScaleCrop>
  <Company>Author-it Software Corporation Ltd.</Company>
  <LinksUpToDate>false</LinksUpToDate>
  <CharactersWithSpaces>13151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AURV233849A Prepare surfaces and apply window tinting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